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8A6D" w14:textId="1AF1F4D0" w:rsidR="00342C37" w:rsidRPr="006031D7" w:rsidRDefault="004E722C" w:rsidP="006031D7">
      <w:pPr>
        <w:rPr>
          <w:sz w:val="32"/>
          <w:szCs w:val="32"/>
          <w:lang w:val="en-US"/>
        </w:rPr>
      </w:pPr>
      <w:r w:rsidRPr="006031D7">
        <w:rPr>
          <w:sz w:val="32"/>
          <w:szCs w:val="32"/>
          <w:lang w:val="en-US"/>
        </w:rPr>
        <w:t xml:space="preserve">Notes </w:t>
      </w:r>
      <w:proofErr w:type="spellStart"/>
      <w:r w:rsidR="006031D7" w:rsidRPr="006031D7">
        <w:rPr>
          <w:sz w:val="32"/>
          <w:szCs w:val="32"/>
          <w:lang w:val="en-US"/>
        </w:rPr>
        <w:t>structurées</w:t>
      </w:r>
      <w:proofErr w:type="spellEnd"/>
      <w:r w:rsidR="006031D7" w:rsidRPr="006031D7">
        <w:rPr>
          <w:sz w:val="32"/>
          <w:szCs w:val="32"/>
          <w:lang w:val="en-US"/>
        </w:rPr>
        <w:t xml:space="preserve"> </w:t>
      </w:r>
      <w:proofErr w:type="spellStart"/>
      <w:r w:rsidRPr="006031D7">
        <w:rPr>
          <w:sz w:val="32"/>
          <w:szCs w:val="32"/>
          <w:lang w:val="en-US"/>
        </w:rPr>
        <w:t>concernant</w:t>
      </w:r>
      <w:proofErr w:type="spellEnd"/>
      <w:r w:rsidRPr="006031D7">
        <w:rPr>
          <w:sz w:val="32"/>
          <w:szCs w:val="32"/>
          <w:lang w:val="en-US"/>
        </w:rPr>
        <w:t xml:space="preserve"> </w:t>
      </w:r>
      <w:proofErr w:type="spellStart"/>
      <w:r w:rsidRPr="006031D7">
        <w:rPr>
          <w:sz w:val="32"/>
          <w:szCs w:val="32"/>
          <w:lang w:val="en-US"/>
        </w:rPr>
        <w:t>l’article</w:t>
      </w:r>
      <w:proofErr w:type="spellEnd"/>
      <w:r w:rsidRPr="006031D7">
        <w:rPr>
          <w:sz w:val="32"/>
          <w:szCs w:val="32"/>
          <w:lang w:val="en-US"/>
        </w:rPr>
        <w:t xml:space="preserve"> de </w:t>
      </w:r>
      <w:r w:rsidR="006031D7" w:rsidRPr="006031D7">
        <w:rPr>
          <w:sz w:val="32"/>
          <w:szCs w:val="32"/>
          <w:lang w:val="en-US"/>
        </w:rPr>
        <w:t xml:space="preserve">J. </w:t>
      </w:r>
      <w:r w:rsidR="004E14C4" w:rsidRPr="006031D7">
        <w:rPr>
          <w:sz w:val="32"/>
          <w:szCs w:val="32"/>
          <w:lang w:val="en-US"/>
        </w:rPr>
        <w:t xml:space="preserve">Cohn, </w:t>
      </w:r>
      <w:hyperlink r:id="rId8" w:history="1">
        <w:r w:rsidR="00097344" w:rsidRPr="006031D7">
          <w:rPr>
            <w:rStyle w:val="Lienhypertexte"/>
            <w:sz w:val="32"/>
            <w:szCs w:val="32"/>
            <w:lang w:val="en-US"/>
          </w:rPr>
          <w:t>Censorship of Essential Debate in Gender Medicine Research</w:t>
        </w:r>
      </w:hyperlink>
      <w:r w:rsidR="004E14C4" w:rsidRPr="006031D7">
        <w:rPr>
          <w:sz w:val="32"/>
          <w:szCs w:val="32"/>
          <w:lang w:val="en-US"/>
        </w:rPr>
        <w:t xml:space="preserve">, </w:t>
      </w:r>
      <w:r w:rsidR="004E14C4" w:rsidRPr="006031D7">
        <w:rPr>
          <w:i/>
          <w:iCs/>
          <w:sz w:val="32"/>
          <w:szCs w:val="32"/>
          <w:lang w:val="en-US"/>
        </w:rPr>
        <w:t>Journal of Controversial Ideas</w:t>
      </w:r>
      <w:r w:rsidRPr="006031D7">
        <w:rPr>
          <w:i/>
          <w:iCs/>
          <w:sz w:val="32"/>
          <w:szCs w:val="32"/>
          <w:lang w:val="en-US"/>
        </w:rPr>
        <w:t>,</w:t>
      </w:r>
      <w:r w:rsidR="004E14C4" w:rsidRPr="006031D7">
        <w:rPr>
          <w:i/>
          <w:iCs/>
          <w:sz w:val="32"/>
          <w:szCs w:val="32"/>
          <w:lang w:val="en-US"/>
        </w:rPr>
        <w:t xml:space="preserve"> </w:t>
      </w:r>
      <w:proofErr w:type="spellStart"/>
      <w:r w:rsidR="005823E1">
        <w:rPr>
          <w:i/>
          <w:iCs/>
          <w:sz w:val="32"/>
          <w:szCs w:val="32"/>
          <w:lang w:val="en-US"/>
        </w:rPr>
        <w:t>octobre</w:t>
      </w:r>
      <w:proofErr w:type="spellEnd"/>
      <w:r w:rsidR="005823E1">
        <w:rPr>
          <w:i/>
          <w:iCs/>
          <w:sz w:val="32"/>
          <w:szCs w:val="32"/>
          <w:lang w:val="en-US"/>
        </w:rPr>
        <w:t xml:space="preserve"> </w:t>
      </w:r>
      <w:r w:rsidR="004E14C4" w:rsidRPr="006031D7">
        <w:rPr>
          <w:sz w:val="32"/>
          <w:szCs w:val="32"/>
          <w:lang w:val="en-US"/>
        </w:rPr>
        <w:t>2025</w:t>
      </w:r>
    </w:p>
    <w:p w14:paraId="3FB50483" w14:textId="67EE400A" w:rsidR="001D16E2" w:rsidRDefault="004E722C" w:rsidP="00097344">
      <w:pPr>
        <w:rPr>
          <w:i/>
          <w:iCs/>
        </w:rPr>
      </w:pPr>
      <w:r w:rsidRPr="001D16E2">
        <w:rPr>
          <w:i/>
          <w:iCs/>
        </w:rPr>
        <w:t>Par Magali Pignard</w:t>
      </w:r>
      <w:r w:rsidR="001D16E2" w:rsidRPr="001D16E2">
        <w:rPr>
          <w:i/>
          <w:iCs/>
        </w:rPr>
        <w:t>.</w:t>
      </w:r>
      <w:r w:rsidR="001D16E2">
        <w:rPr>
          <w:i/>
          <w:iCs/>
        </w:rPr>
        <w:t xml:space="preserve"> Les éléments/précisions ajoutés par Magali Pignard sont entre crochets.</w:t>
      </w:r>
    </w:p>
    <w:p w14:paraId="758D997D" w14:textId="77777777" w:rsidR="002A7A78" w:rsidRDefault="002A7A78" w:rsidP="00097344">
      <w:pPr>
        <w:rPr>
          <w:i/>
          <w:iCs/>
        </w:rPr>
      </w:pPr>
    </w:p>
    <w:p w14:paraId="20A8AE4D" w14:textId="77777777" w:rsidR="002A7A78" w:rsidRPr="002A7A78" w:rsidRDefault="002A7A78" w:rsidP="002A7A78">
      <w:r w:rsidRPr="002A7A78">
        <w:rPr>
          <w:b/>
          <w:bCs/>
        </w:rPr>
        <w:t>Abstract de l'article</w:t>
      </w:r>
    </w:p>
    <w:p w14:paraId="023386EF" w14:textId="77777777" w:rsidR="002A7A78" w:rsidRPr="002A7A78" w:rsidRDefault="002A7A78" w:rsidP="002A7A78">
      <w:r w:rsidRPr="002A7A78">
        <w:t>L’intégrité de la littérature scientifique sur la médecine du genre a été compromise, non seulement par la censure d’articles corrects, mais aussi par la censure de critiques visant des articles contenant des affirmations non étayées (par exemple exagérées), trompeuses ou erronées. Bon nombre de ces affirmations concernent la base de preuves, laquelle peut être évaluée de manière rigoureuse à l’aide d’un élément clé de la médecine fondée sur les preuves : les revues systématiques de la littérature.</w:t>
      </w:r>
    </w:p>
    <w:p w14:paraId="0DCC32D4" w14:textId="7CD17B0E" w:rsidR="002A7A78" w:rsidRPr="002A7A78" w:rsidRDefault="002A7A78" w:rsidP="002A7A78">
      <w:r w:rsidRPr="002A7A78">
        <w:t>Ces revues concluent actuellement qu’il existe un niveau de confiance limité à très faible quant au fait que les estimations des bénéfices (et parfois des préjudices) des interventions médicales liées au genre</w:t>
      </w:r>
      <w:r>
        <w:t>,</w:t>
      </w:r>
      <w:r w:rsidRPr="002A7A78">
        <w:t xml:space="preserve"> à savoir les bloqueurs de puberté, les hormones et/ou les chirurgies</w:t>
      </w:r>
      <w:r>
        <w:t>,</w:t>
      </w:r>
      <w:r w:rsidRPr="002A7A78">
        <w:t xml:space="preserve"> correspondent aux effets réels. Pourtant, plusieurs sociétés médicales et des articles publiés dans des revues médicales affirment le contraire, en présentant de manière erronée l’ensemble de la base de preuves et/ou en s’appuyant sur des résultats ou des conclusions d’études individuelles non étayées ou non représentatives.</w:t>
      </w:r>
    </w:p>
    <w:p w14:paraId="6DC6A4BD" w14:textId="77777777" w:rsidR="002A7A78" w:rsidRPr="002A7A78" w:rsidRDefault="002A7A78" w:rsidP="002A7A78">
      <w:r w:rsidRPr="002A7A78">
        <w:t>Par exemple, une forte probabilité de bénéfice et un faible risque d’effets indésirables liés aux interventions médicales de transition sont fréquemment affirmés, tandis que des options thérapeutiques alternatives moins invasives sont soit omises, soit présentées de manière déformée. D’autres affirmations non étayées, erronées ou trompeuses apparaissent lorsque des études minimisent ou omettent de mentionner des limitations importantes, ou rapportent des résultats ou des conclusions qui ne sont pas soutenus par leurs propres données ; ces affirmations sont ensuite parfois reprises par d’autres. En outre, des études correctement rapportées sont parfois elles-mêmes déformées.</w:t>
      </w:r>
    </w:p>
    <w:p w14:paraId="78AAE091" w14:textId="77777777" w:rsidR="002A7A78" w:rsidRPr="002A7A78" w:rsidRDefault="002A7A78" w:rsidP="002A7A78">
      <w:r w:rsidRPr="002A7A78">
        <w:t>Les critiques visant à corriger ces affirmations sont fréquemment rejetées ; quelques exemples en sont présentés ici. Ces rejets ont étouffé le débat scientifique, entravant l’examen continu et les vérifications croisées nécessaires au maintien de l’exactitude de la littérature scientifique. À l’heure actuelle, des affirmations erronées et non étayées circulent et se répètent entre les revues et les lignes directrices ou déclarations des sociétés médicales, induisant en erreur les chercheurs, les cliniciens, les patients et le grand public.</w:t>
      </w:r>
    </w:p>
    <w:p w14:paraId="28810981" w14:textId="77777777" w:rsidR="002A7A78" w:rsidRPr="001D16E2" w:rsidRDefault="002A7A78" w:rsidP="00097344">
      <w:pPr>
        <w:rPr>
          <w:i/>
          <w:iCs/>
        </w:rPr>
      </w:pPr>
    </w:p>
    <w:sdt>
      <w:sdtPr>
        <w:rPr>
          <w:rFonts w:asciiTheme="minorHAnsi" w:eastAsiaTheme="minorHAnsi" w:hAnsiTheme="minorHAnsi" w:cstheme="minorBidi"/>
          <w:color w:val="auto"/>
          <w:kern w:val="2"/>
          <w:sz w:val="22"/>
          <w:szCs w:val="24"/>
          <w:lang w:eastAsia="en-US"/>
          <w14:ligatures w14:val="standardContextual"/>
        </w:rPr>
        <w:id w:val="-803922679"/>
        <w:docPartObj>
          <w:docPartGallery w:val="Table of Contents"/>
          <w:docPartUnique/>
        </w:docPartObj>
      </w:sdtPr>
      <w:sdtEndPr>
        <w:rPr>
          <w:b/>
          <w:bCs/>
        </w:rPr>
      </w:sdtEndPr>
      <w:sdtContent>
        <w:bookmarkStart w:id="0" w:name="sommaire" w:displacedByCustomXml="prev"/>
        <w:p w14:paraId="22A733F6" w14:textId="03A94964" w:rsidR="00283F8F" w:rsidRDefault="00283F8F">
          <w:pPr>
            <w:pStyle w:val="En-ttedetabledesmatires"/>
          </w:pPr>
          <w:r>
            <w:t>Sommaire</w:t>
          </w:r>
        </w:p>
        <w:bookmarkEnd w:id="0"/>
        <w:p w14:paraId="51CCAB7E" w14:textId="411DC89C" w:rsidR="00955E82" w:rsidRDefault="00283F8F">
          <w:pPr>
            <w:pStyle w:val="TM2"/>
            <w:tabs>
              <w:tab w:val="right" w:leader="dot" w:pos="9062"/>
            </w:tabs>
            <w:rPr>
              <w:rFonts w:eastAsiaTheme="minorEastAsia"/>
              <w:noProof/>
              <w:sz w:val="24"/>
              <w:lang w:eastAsia="fr-FR"/>
            </w:rPr>
          </w:pPr>
          <w:r>
            <w:fldChar w:fldCharType="begin"/>
          </w:r>
          <w:r>
            <w:instrText xml:space="preserve"> TOC \o "1-3" \h \z \u </w:instrText>
          </w:r>
          <w:r>
            <w:fldChar w:fldCharType="separate"/>
          </w:r>
          <w:hyperlink w:anchor="_Toc217928608" w:history="1">
            <w:r w:rsidR="00955E82" w:rsidRPr="00D833E8">
              <w:rPr>
                <w:rStyle w:val="Lienhypertexte"/>
                <w:noProof/>
              </w:rPr>
              <w:t>Introduction : constats</w:t>
            </w:r>
            <w:r w:rsidR="00955E82">
              <w:rPr>
                <w:noProof/>
                <w:webHidden/>
              </w:rPr>
              <w:tab/>
            </w:r>
            <w:r w:rsidR="00955E82">
              <w:rPr>
                <w:noProof/>
                <w:webHidden/>
              </w:rPr>
              <w:fldChar w:fldCharType="begin"/>
            </w:r>
            <w:r w:rsidR="00955E82">
              <w:rPr>
                <w:noProof/>
                <w:webHidden/>
              </w:rPr>
              <w:instrText xml:space="preserve"> PAGEREF _Toc217928608 \h </w:instrText>
            </w:r>
            <w:r w:rsidR="00955E82">
              <w:rPr>
                <w:noProof/>
                <w:webHidden/>
              </w:rPr>
            </w:r>
            <w:r w:rsidR="00955E82">
              <w:rPr>
                <w:noProof/>
                <w:webHidden/>
              </w:rPr>
              <w:fldChar w:fldCharType="separate"/>
            </w:r>
            <w:r w:rsidR="00FE4546">
              <w:rPr>
                <w:noProof/>
                <w:webHidden/>
              </w:rPr>
              <w:t>1</w:t>
            </w:r>
            <w:r w:rsidR="00955E82">
              <w:rPr>
                <w:noProof/>
                <w:webHidden/>
              </w:rPr>
              <w:fldChar w:fldCharType="end"/>
            </w:r>
          </w:hyperlink>
        </w:p>
        <w:p w14:paraId="33DBE51A" w14:textId="36A8CD74" w:rsidR="00955E82" w:rsidRDefault="00955E82">
          <w:pPr>
            <w:pStyle w:val="TM2"/>
            <w:tabs>
              <w:tab w:val="right" w:leader="dot" w:pos="9062"/>
            </w:tabs>
            <w:rPr>
              <w:rFonts w:eastAsiaTheme="minorEastAsia"/>
              <w:noProof/>
              <w:sz w:val="24"/>
              <w:lang w:eastAsia="fr-FR"/>
            </w:rPr>
          </w:pPr>
          <w:hyperlink w:anchor="_Toc217928609" w:history="1">
            <w:r w:rsidRPr="00D833E8">
              <w:rPr>
                <w:rStyle w:val="Lienhypertexte"/>
                <w:noProof/>
              </w:rPr>
              <w:t>1. Censure et affirmations non étayées, trompeuses ou erronées</w:t>
            </w:r>
            <w:r>
              <w:rPr>
                <w:noProof/>
                <w:webHidden/>
              </w:rPr>
              <w:tab/>
            </w:r>
            <w:r>
              <w:rPr>
                <w:noProof/>
                <w:webHidden/>
              </w:rPr>
              <w:fldChar w:fldCharType="begin"/>
            </w:r>
            <w:r>
              <w:rPr>
                <w:noProof/>
                <w:webHidden/>
              </w:rPr>
              <w:instrText xml:space="preserve"> PAGEREF _Toc217928609 \h </w:instrText>
            </w:r>
            <w:r>
              <w:rPr>
                <w:noProof/>
                <w:webHidden/>
              </w:rPr>
            </w:r>
            <w:r>
              <w:rPr>
                <w:noProof/>
                <w:webHidden/>
              </w:rPr>
              <w:fldChar w:fldCharType="separate"/>
            </w:r>
            <w:r w:rsidR="00FE4546">
              <w:rPr>
                <w:noProof/>
                <w:webHidden/>
              </w:rPr>
              <w:t>2</w:t>
            </w:r>
            <w:r>
              <w:rPr>
                <w:noProof/>
                <w:webHidden/>
              </w:rPr>
              <w:fldChar w:fldCharType="end"/>
            </w:r>
          </w:hyperlink>
        </w:p>
        <w:p w14:paraId="15F0F89B" w14:textId="6DDD7DD8" w:rsidR="00955E82" w:rsidRDefault="00955E82">
          <w:pPr>
            <w:pStyle w:val="TM3"/>
            <w:tabs>
              <w:tab w:val="right" w:leader="dot" w:pos="9062"/>
            </w:tabs>
            <w:rPr>
              <w:rFonts w:eastAsiaTheme="minorEastAsia"/>
              <w:noProof/>
              <w:sz w:val="24"/>
              <w:lang w:eastAsia="fr-FR"/>
            </w:rPr>
          </w:pPr>
          <w:hyperlink w:anchor="_Toc217928610" w:history="1">
            <w:r w:rsidRPr="00D833E8">
              <w:rPr>
                <w:rStyle w:val="Lienhypertexte"/>
                <w:noProof/>
              </w:rPr>
              <w:t>1.1. Entraves à la publication et à la correction scientifiques</w:t>
            </w:r>
            <w:r>
              <w:rPr>
                <w:noProof/>
                <w:webHidden/>
              </w:rPr>
              <w:tab/>
            </w:r>
            <w:r>
              <w:rPr>
                <w:noProof/>
                <w:webHidden/>
              </w:rPr>
              <w:fldChar w:fldCharType="begin"/>
            </w:r>
            <w:r>
              <w:rPr>
                <w:noProof/>
                <w:webHidden/>
              </w:rPr>
              <w:instrText xml:space="preserve"> PAGEREF _Toc217928610 \h </w:instrText>
            </w:r>
            <w:r>
              <w:rPr>
                <w:noProof/>
                <w:webHidden/>
              </w:rPr>
            </w:r>
            <w:r>
              <w:rPr>
                <w:noProof/>
                <w:webHidden/>
              </w:rPr>
              <w:fldChar w:fldCharType="separate"/>
            </w:r>
            <w:r w:rsidR="00FE4546">
              <w:rPr>
                <w:noProof/>
                <w:webHidden/>
              </w:rPr>
              <w:t>2</w:t>
            </w:r>
            <w:r>
              <w:rPr>
                <w:noProof/>
                <w:webHidden/>
              </w:rPr>
              <w:fldChar w:fldCharType="end"/>
            </w:r>
          </w:hyperlink>
        </w:p>
        <w:p w14:paraId="587E03D6" w14:textId="42753B44" w:rsidR="00955E82" w:rsidRDefault="00955E82">
          <w:pPr>
            <w:pStyle w:val="TM3"/>
            <w:tabs>
              <w:tab w:val="right" w:leader="dot" w:pos="9062"/>
            </w:tabs>
            <w:rPr>
              <w:rFonts w:eastAsiaTheme="minorEastAsia"/>
              <w:noProof/>
              <w:sz w:val="24"/>
              <w:lang w:eastAsia="fr-FR"/>
            </w:rPr>
          </w:pPr>
          <w:hyperlink w:anchor="_Toc217928611" w:history="1">
            <w:r w:rsidRPr="00D833E8">
              <w:rPr>
                <w:rStyle w:val="Lienhypertexte"/>
                <w:noProof/>
              </w:rPr>
              <w:t>1.2. Affirmations non étayées, trompeuses ou erronées</w:t>
            </w:r>
            <w:r>
              <w:rPr>
                <w:noProof/>
                <w:webHidden/>
              </w:rPr>
              <w:tab/>
            </w:r>
            <w:r>
              <w:rPr>
                <w:noProof/>
                <w:webHidden/>
              </w:rPr>
              <w:fldChar w:fldCharType="begin"/>
            </w:r>
            <w:r>
              <w:rPr>
                <w:noProof/>
                <w:webHidden/>
              </w:rPr>
              <w:instrText xml:space="preserve"> PAGEREF _Toc217928611 \h </w:instrText>
            </w:r>
            <w:r>
              <w:rPr>
                <w:noProof/>
                <w:webHidden/>
              </w:rPr>
            </w:r>
            <w:r>
              <w:rPr>
                <w:noProof/>
                <w:webHidden/>
              </w:rPr>
              <w:fldChar w:fldCharType="separate"/>
            </w:r>
            <w:r w:rsidR="00FE4546">
              <w:rPr>
                <w:noProof/>
                <w:webHidden/>
              </w:rPr>
              <w:t>3</w:t>
            </w:r>
            <w:r>
              <w:rPr>
                <w:noProof/>
                <w:webHidden/>
              </w:rPr>
              <w:fldChar w:fldCharType="end"/>
            </w:r>
          </w:hyperlink>
        </w:p>
        <w:p w14:paraId="7566050D" w14:textId="20179E55" w:rsidR="00955E82" w:rsidRDefault="00955E82">
          <w:pPr>
            <w:pStyle w:val="TM2"/>
            <w:tabs>
              <w:tab w:val="right" w:leader="dot" w:pos="9062"/>
            </w:tabs>
            <w:rPr>
              <w:rFonts w:eastAsiaTheme="minorEastAsia"/>
              <w:noProof/>
              <w:sz w:val="24"/>
              <w:lang w:eastAsia="fr-FR"/>
            </w:rPr>
          </w:pPr>
          <w:hyperlink w:anchor="_Toc217928612" w:history="1">
            <w:r w:rsidRPr="00D833E8">
              <w:rPr>
                <w:rStyle w:val="Lienhypertexte"/>
                <w:noProof/>
              </w:rPr>
              <w:t>2. Exemples de réfutations censurées</w:t>
            </w:r>
            <w:r>
              <w:rPr>
                <w:noProof/>
                <w:webHidden/>
              </w:rPr>
              <w:tab/>
            </w:r>
            <w:r>
              <w:rPr>
                <w:noProof/>
                <w:webHidden/>
              </w:rPr>
              <w:fldChar w:fldCharType="begin"/>
            </w:r>
            <w:r>
              <w:rPr>
                <w:noProof/>
                <w:webHidden/>
              </w:rPr>
              <w:instrText xml:space="preserve"> PAGEREF _Toc217928612 \h </w:instrText>
            </w:r>
            <w:r>
              <w:rPr>
                <w:noProof/>
                <w:webHidden/>
              </w:rPr>
            </w:r>
            <w:r>
              <w:rPr>
                <w:noProof/>
                <w:webHidden/>
              </w:rPr>
              <w:fldChar w:fldCharType="separate"/>
            </w:r>
            <w:r w:rsidR="00FE4546">
              <w:rPr>
                <w:noProof/>
                <w:webHidden/>
              </w:rPr>
              <w:t>5</w:t>
            </w:r>
            <w:r>
              <w:rPr>
                <w:noProof/>
                <w:webHidden/>
              </w:rPr>
              <w:fldChar w:fldCharType="end"/>
            </w:r>
          </w:hyperlink>
        </w:p>
        <w:p w14:paraId="65DCBB88" w14:textId="3E5A1088" w:rsidR="00955E82" w:rsidRDefault="00955E82">
          <w:pPr>
            <w:pStyle w:val="TM3"/>
            <w:tabs>
              <w:tab w:val="right" w:leader="dot" w:pos="9062"/>
            </w:tabs>
            <w:rPr>
              <w:rFonts w:eastAsiaTheme="minorEastAsia"/>
              <w:noProof/>
              <w:sz w:val="24"/>
              <w:lang w:eastAsia="fr-FR"/>
            </w:rPr>
          </w:pPr>
          <w:hyperlink w:anchor="_Toc217928613" w:history="1">
            <w:r w:rsidRPr="00D833E8">
              <w:rPr>
                <w:rStyle w:val="Lienhypertexte"/>
                <w:noProof/>
                <w:lang w:val="en-US"/>
              </w:rPr>
              <w:t>2.1. Turban et al. 2020b</w:t>
            </w:r>
            <w:r w:rsidRPr="00D833E8">
              <w:rPr>
                <w:rStyle w:val="Lienhypertexte"/>
                <w:i/>
                <w:iCs/>
                <w:noProof/>
                <w:lang w:val="en-US"/>
              </w:rPr>
              <w:t>, Pediatrics</w:t>
            </w:r>
            <w:r>
              <w:rPr>
                <w:noProof/>
                <w:webHidden/>
              </w:rPr>
              <w:tab/>
            </w:r>
            <w:r>
              <w:rPr>
                <w:noProof/>
                <w:webHidden/>
              </w:rPr>
              <w:fldChar w:fldCharType="begin"/>
            </w:r>
            <w:r>
              <w:rPr>
                <w:noProof/>
                <w:webHidden/>
              </w:rPr>
              <w:instrText xml:space="preserve"> PAGEREF _Toc217928613 \h </w:instrText>
            </w:r>
            <w:r>
              <w:rPr>
                <w:noProof/>
                <w:webHidden/>
              </w:rPr>
            </w:r>
            <w:r>
              <w:rPr>
                <w:noProof/>
                <w:webHidden/>
              </w:rPr>
              <w:fldChar w:fldCharType="separate"/>
            </w:r>
            <w:r w:rsidR="00FE4546">
              <w:rPr>
                <w:noProof/>
                <w:webHidden/>
              </w:rPr>
              <w:t>5</w:t>
            </w:r>
            <w:r>
              <w:rPr>
                <w:noProof/>
                <w:webHidden/>
              </w:rPr>
              <w:fldChar w:fldCharType="end"/>
            </w:r>
          </w:hyperlink>
        </w:p>
        <w:p w14:paraId="60133B54" w14:textId="485FD6D3" w:rsidR="00955E82" w:rsidRDefault="00955E82">
          <w:pPr>
            <w:pStyle w:val="TM3"/>
            <w:tabs>
              <w:tab w:val="right" w:leader="dot" w:pos="9062"/>
            </w:tabs>
            <w:rPr>
              <w:rFonts w:eastAsiaTheme="minorEastAsia"/>
              <w:noProof/>
              <w:sz w:val="24"/>
              <w:lang w:eastAsia="fr-FR"/>
            </w:rPr>
          </w:pPr>
          <w:hyperlink w:anchor="_Toc217928614" w:history="1">
            <w:r w:rsidRPr="00D833E8">
              <w:rPr>
                <w:rStyle w:val="Lienhypertexte"/>
                <w:noProof/>
              </w:rPr>
              <w:t xml:space="preserve">2.2. Turban et al. 2020a, </w:t>
            </w:r>
            <w:r w:rsidRPr="00D833E8">
              <w:rPr>
                <w:rStyle w:val="Lienhypertexte"/>
                <w:i/>
                <w:iCs/>
                <w:noProof/>
              </w:rPr>
              <w:t>JAMA Psychiatry</w:t>
            </w:r>
            <w:r>
              <w:rPr>
                <w:noProof/>
                <w:webHidden/>
              </w:rPr>
              <w:tab/>
            </w:r>
            <w:r>
              <w:rPr>
                <w:noProof/>
                <w:webHidden/>
              </w:rPr>
              <w:fldChar w:fldCharType="begin"/>
            </w:r>
            <w:r>
              <w:rPr>
                <w:noProof/>
                <w:webHidden/>
              </w:rPr>
              <w:instrText xml:space="preserve"> PAGEREF _Toc217928614 \h </w:instrText>
            </w:r>
            <w:r>
              <w:rPr>
                <w:noProof/>
                <w:webHidden/>
              </w:rPr>
            </w:r>
            <w:r>
              <w:rPr>
                <w:noProof/>
                <w:webHidden/>
              </w:rPr>
              <w:fldChar w:fldCharType="separate"/>
            </w:r>
            <w:r w:rsidR="00FE4546">
              <w:rPr>
                <w:noProof/>
                <w:webHidden/>
              </w:rPr>
              <w:t>6</w:t>
            </w:r>
            <w:r>
              <w:rPr>
                <w:noProof/>
                <w:webHidden/>
              </w:rPr>
              <w:fldChar w:fldCharType="end"/>
            </w:r>
          </w:hyperlink>
        </w:p>
        <w:p w14:paraId="5CD7E712" w14:textId="52BEACA9" w:rsidR="00955E82" w:rsidRDefault="00955E82">
          <w:pPr>
            <w:pStyle w:val="TM3"/>
            <w:tabs>
              <w:tab w:val="right" w:leader="dot" w:pos="9062"/>
            </w:tabs>
            <w:rPr>
              <w:rFonts w:eastAsiaTheme="minorEastAsia"/>
              <w:noProof/>
              <w:sz w:val="24"/>
              <w:lang w:eastAsia="fr-FR"/>
            </w:rPr>
          </w:pPr>
          <w:hyperlink w:anchor="_Toc217928615" w:history="1">
            <w:r w:rsidRPr="00D833E8">
              <w:rPr>
                <w:rStyle w:val="Lienhypertexte"/>
                <w:noProof/>
                <w:lang w:val="en-US"/>
              </w:rPr>
              <w:t xml:space="preserve">2.3. McNamara et al. 2022, </w:t>
            </w:r>
            <w:r w:rsidRPr="00D833E8">
              <w:rPr>
                <w:rStyle w:val="Lienhypertexte"/>
                <w:i/>
                <w:iCs/>
                <w:noProof/>
                <w:lang w:val="en-US"/>
              </w:rPr>
              <w:t>New England Journal of Medicine</w:t>
            </w:r>
            <w:r>
              <w:rPr>
                <w:noProof/>
                <w:webHidden/>
              </w:rPr>
              <w:tab/>
            </w:r>
            <w:r>
              <w:rPr>
                <w:noProof/>
                <w:webHidden/>
              </w:rPr>
              <w:fldChar w:fldCharType="begin"/>
            </w:r>
            <w:r>
              <w:rPr>
                <w:noProof/>
                <w:webHidden/>
              </w:rPr>
              <w:instrText xml:space="preserve"> PAGEREF _Toc217928615 \h </w:instrText>
            </w:r>
            <w:r>
              <w:rPr>
                <w:noProof/>
                <w:webHidden/>
              </w:rPr>
            </w:r>
            <w:r>
              <w:rPr>
                <w:noProof/>
                <w:webHidden/>
              </w:rPr>
              <w:fldChar w:fldCharType="separate"/>
            </w:r>
            <w:r w:rsidR="00FE4546">
              <w:rPr>
                <w:noProof/>
                <w:webHidden/>
              </w:rPr>
              <w:t>6</w:t>
            </w:r>
            <w:r>
              <w:rPr>
                <w:noProof/>
                <w:webHidden/>
              </w:rPr>
              <w:fldChar w:fldCharType="end"/>
            </w:r>
          </w:hyperlink>
        </w:p>
        <w:p w14:paraId="61C88A68" w14:textId="33675391" w:rsidR="00955E82" w:rsidRDefault="00955E82">
          <w:pPr>
            <w:pStyle w:val="TM3"/>
            <w:tabs>
              <w:tab w:val="right" w:leader="dot" w:pos="9062"/>
            </w:tabs>
            <w:rPr>
              <w:rFonts w:eastAsiaTheme="minorEastAsia"/>
              <w:noProof/>
              <w:sz w:val="24"/>
              <w:lang w:eastAsia="fr-FR"/>
            </w:rPr>
          </w:pPr>
          <w:hyperlink w:anchor="_Toc217928616" w:history="1">
            <w:r w:rsidRPr="00D833E8">
              <w:rPr>
                <w:rStyle w:val="Lienhypertexte"/>
                <w:noProof/>
                <w:lang w:val="en-US"/>
              </w:rPr>
              <w:t xml:space="preserve">2.4. Barbee et al. 2024, </w:t>
            </w:r>
            <w:r w:rsidRPr="00D833E8">
              <w:rPr>
                <w:rStyle w:val="Lienhypertexte"/>
                <w:i/>
                <w:iCs/>
                <w:noProof/>
                <w:lang w:val="en-US"/>
              </w:rPr>
              <w:t>JAMA Surgery</w:t>
            </w:r>
            <w:r>
              <w:rPr>
                <w:noProof/>
                <w:webHidden/>
              </w:rPr>
              <w:tab/>
            </w:r>
            <w:r>
              <w:rPr>
                <w:noProof/>
                <w:webHidden/>
              </w:rPr>
              <w:fldChar w:fldCharType="begin"/>
            </w:r>
            <w:r>
              <w:rPr>
                <w:noProof/>
                <w:webHidden/>
              </w:rPr>
              <w:instrText xml:space="preserve"> PAGEREF _Toc217928616 \h </w:instrText>
            </w:r>
            <w:r>
              <w:rPr>
                <w:noProof/>
                <w:webHidden/>
              </w:rPr>
            </w:r>
            <w:r>
              <w:rPr>
                <w:noProof/>
                <w:webHidden/>
              </w:rPr>
              <w:fldChar w:fldCharType="separate"/>
            </w:r>
            <w:r w:rsidR="00FE4546">
              <w:rPr>
                <w:noProof/>
                <w:webHidden/>
              </w:rPr>
              <w:t>8</w:t>
            </w:r>
            <w:r>
              <w:rPr>
                <w:noProof/>
                <w:webHidden/>
              </w:rPr>
              <w:fldChar w:fldCharType="end"/>
            </w:r>
          </w:hyperlink>
        </w:p>
        <w:p w14:paraId="6572B50F" w14:textId="25AE7B10" w:rsidR="00955E82" w:rsidRDefault="00955E82">
          <w:pPr>
            <w:pStyle w:val="TM2"/>
            <w:tabs>
              <w:tab w:val="right" w:leader="dot" w:pos="9062"/>
            </w:tabs>
            <w:rPr>
              <w:rFonts w:eastAsiaTheme="minorEastAsia"/>
              <w:noProof/>
              <w:sz w:val="24"/>
              <w:lang w:eastAsia="fr-FR"/>
            </w:rPr>
          </w:pPr>
          <w:hyperlink w:anchor="_Toc217928617" w:history="1">
            <w:r w:rsidRPr="00D833E8">
              <w:rPr>
                <w:rStyle w:val="Lienhypertexte"/>
                <w:noProof/>
              </w:rPr>
              <w:t>3. Ensemble de la littérature</w:t>
            </w:r>
            <w:r>
              <w:rPr>
                <w:noProof/>
                <w:webHidden/>
              </w:rPr>
              <w:tab/>
            </w:r>
            <w:r>
              <w:rPr>
                <w:noProof/>
                <w:webHidden/>
              </w:rPr>
              <w:fldChar w:fldCharType="begin"/>
            </w:r>
            <w:r>
              <w:rPr>
                <w:noProof/>
                <w:webHidden/>
              </w:rPr>
              <w:instrText xml:space="preserve"> PAGEREF _Toc217928617 \h </w:instrText>
            </w:r>
            <w:r>
              <w:rPr>
                <w:noProof/>
                <w:webHidden/>
              </w:rPr>
            </w:r>
            <w:r>
              <w:rPr>
                <w:noProof/>
                <w:webHidden/>
              </w:rPr>
              <w:fldChar w:fldCharType="separate"/>
            </w:r>
            <w:r w:rsidR="00FE4546">
              <w:rPr>
                <w:noProof/>
                <w:webHidden/>
              </w:rPr>
              <w:t>9</w:t>
            </w:r>
            <w:r>
              <w:rPr>
                <w:noProof/>
                <w:webHidden/>
              </w:rPr>
              <w:fldChar w:fldCharType="end"/>
            </w:r>
          </w:hyperlink>
        </w:p>
        <w:p w14:paraId="7C98F542" w14:textId="5E2AD619" w:rsidR="00955E82" w:rsidRDefault="00955E82">
          <w:pPr>
            <w:pStyle w:val="TM3"/>
            <w:tabs>
              <w:tab w:val="right" w:leader="dot" w:pos="9062"/>
            </w:tabs>
            <w:rPr>
              <w:rFonts w:eastAsiaTheme="minorEastAsia"/>
              <w:noProof/>
              <w:sz w:val="24"/>
              <w:lang w:eastAsia="fr-FR"/>
            </w:rPr>
          </w:pPr>
          <w:hyperlink w:anchor="_Toc217928618" w:history="1">
            <w:r w:rsidRPr="00D833E8">
              <w:rPr>
                <w:rStyle w:val="Lienhypertexte"/>
                <w:noProof/>
              </w:rPr>
              <w:t xml:space="preserve">3.1. Concernant le </w:t>
            </w:r>
            <w:r w:rsidRPr="00D833E8">
              <w:rPr>
                <w:rStyle w:val="Lienhypertexte"/>
                <w:i/>
                <w:iCs/>
                <w:noProof/>
              </w:rPr>
              <w:t xml:space="preserve">NEJM </w:t>
            </w:r>
            <w:r w:rsidRPr="00D833E8">
              <w:rPr>
                <w:rStyle w:val="Lienhypertexte"/>
                <w:noProof/>
              </w:rPr>
              <w:t>(</w:t>
            </w:r>
            <w:r w:rsidRPr="00D833E8">
              <w:rPr>
                <w:rStyle w:val="Lienhypertexte"/>
                <w:i/>
                <w:iCs/>
                <w:noProof/>
              </w:rPr>
              <w:t>New England Journal of Medicine</w:t>
            </w:r>
            <w:r w:rsidRPr="00D833E8">
              <w:rPr>
                <w:rStyle w:val="Lienhypertexte"/>
                <w:noProof/>
              </w:rPr>
              <w:t xml:space="preserve">) et </w:t>
            </w:r>
            <w:r w:rsidRPr="00D833E8">
              <w:rPr>
                <w:rStyle w:val="Lienhypertexte"/>
                <w:i/>
                <w:iCs/>
                <w:noProof/>
              </w:rPr>
              <w:t>JAMA gender-affirming surgery</w:t>
            </w:r>
            <w:r>
              <w:rPr>
                <w:noProof/>
                <w:webHidden/>
              </w:rPr>
              <w:tab/>
            </w:r>
            <w:r>
              <w:rPr>
                <w:noProof/>
                <w:webHidden/>
              </w:rPr>
              <w:fldChar w:fldCharType="begin"/>
            </w:r>
            <w:r>
              <w:rPr>
                <w:noProof/>
                <w:webHidden/>
              </w:rPr>
              <w:instrText xml:space="preserve"> PAGEREF _Toc217928618 \h </w:instrText>
            </w:r>
            <w:r>
              <w:rPr>
                <w:noProof/>
                <w:webHidden/>
              </w:rPr>
            </w:r>
            <w:r>
              <w:rPr>
                <w:noProof/>
                <w:webHidden/>
              </w:rPr>
              <w:fldChar w:fldCharType="separate"/>
            </w:r>
            <w:r w:rsidR="00FE4546">
              <w:rPr>
                <w:noProof/>
                <w:webHidden/>
              </w:rPr>
              <w:t>9</w:t>
            </w:r>
            <w:r>
              <w:rPr>
                <w:noProof/>
                <w:webHidden/>
              </w:rPr>
              <w:fldChar w:fldCharType="end"/>
            </w:r>
          </w:hyperlink>
        </w:p>
        <w:p w14:paraId="1305EC00" w14:textId="22E590B3" w:rsidR="00955E82" w:rsidRDefault="00955E82">
          <w:pPr>
            <w:pStyle w:val="TM3"/>
            <w:tabs>
              <w:tab w:val="right" w:leader="dot" w:pos="9062"/>
            </w:tabs>
            <w:rPr>
              <w:rFonts w:eastAsiaTheme="minorEastAsia"/>
              <w:noProof/>
              <w:sz w:val="24"/>
              <w:lang w:eastAsia="fr-FR"/>
            </w:rPr>
          </w:pPr>
          <w:hyperlink w:anchor="_Toc217928619" w:history="1">
            <w:r w:rsidRPr="00D833E8">
              <w:rPr>
                <w:rStyle w:val="Lienhypertexte"/>
                <w:noProof/>
              </w:rPr>
              <w:t>3.2. Concernant PubPeer</w:t>
            </w:r>
            <w:r>
              <w:rPr>
                <w:noProof/>
                <w:webHidden/>
              </w:rPr>
              <w:tab/>
            </w:r>
            <w:r>
              <w:rPr>
                <w:noProof/>
                <w:webHidden/>
              </w:rPr>
              <w:fldChar w:fldCharType="begin"/>
            </w:r>
            <w:r>
              <w:rPr>
                <w:noProof/>
                <w:webHidden/>
              </w:rPr>
              <w:instrText xml:space="preserve"> PAGEREF _Toc217928619 \h </w:instrText>
            </w:r>
            <w:r>
              <w:rPr>
                <w:noProof/>
                <w:webHidden/>
              </w:rPr>
            </w:r>
            <w:r>
              <w:rPr>
                <w:noProof/>
                <w:webHidden/>
              </w:rPr>
              <w:fldChar w:fldCharType="separate"/>
            </w:r>
            <w:r w:rsidR="00FE4546">
              <w:rPr>
                <w:noProof/>
                <w:webHidden/>
              </w:rPr>
              <w:t>9</w:t>
            </w:r>
            <w:r>
              <w:rPr>
                <w:noProof/>
                <w:webHidden/>
              </w:rPr>
              <w:fldChar w:fldCharType="end"/>
            </w:r>
          </w:hyperlink>
        </w:p>
        <w:p w14:paraId="653B7BC3" w14:textId="28BCDB3A" w:rsidR="00955E82" w:rsidRDefault="00955E82">
          <w:pPr>
            <w:pStyle w:val="TM3"/>
            <w:tabs>
              <w:tab w:val="right" w:leader="dot" w:pos="9062"/>
            </w:tabs>
            <w:rPr>
              <w:rFonts w:eastAsiaTheme="minorEastAsia"/>
              <w:noProof/>
              <w:sz w:val="24"/>
              <w:lang w:eastAsia="fr-FR"/>
            </w:rPr>
          </w:pPr>
          <w:hyperlink w:anchor="_Toc217928620" w:history="1">
            <w:r w:rsidRPr="00D833E8">
              <w:rPr>
                <w:rStyle w:val="Lienhypertexte"/>
                <w:noProof/>
              </w:rPr>
              <w:t>3.3. Quelques revues continuent de publier des travaux critiques</w:t>
            </w:r>
            <w:r>
              <w:rPr>
                <w:noProof/>
                <w:webHidden/>
              </w:rPr>
              <w:tab/>
            </w:r>
            <w:r>
              <w:rPr>
                <w:noProof/>
                <w:webHidden/>
              </w:rPr>
              <w:fldChar w:fldCharType="begin"/>
            </w:r>
            <w:r>
              <w:rPr>
                <w:noProof/>
                <w:webHidden/>
              </w:rPr>
              <w:instrText xml:space="preserve"> PAGEREF _Toc217928620 \h </w:instrText>
            </w:r>
            <w:r>
              <w:rPr>
                <w:noProof/>
                <w:webHidden/>
              </w:rPr>
            </w:r>
            <w:r>
              <w:rPr>
                <w:noProof/>
                <w:webHidden/>
              </w:rPr>
              <w:fldChar w:fldCharType="separate"/>
            </w:r>
            <w:r w:rsidR="00FE4546">
              <w:rPr>
                <w:noProof/>
                <w:webHidden/>
              </w:rPr>
              <w:t>10</w:t>
            </w:r>
            <w:r>
              <w:rPr>
                <w:noProof/>
                <w:webHidden/>
              </w:rPr>
              <w:fldChar w:fldCharType="end"/>
            </w:r>
          </w:hyperlink>
        </w:p>
        <w:p w14:paraId="3607D7C9" w14:textId="6F2BC2B7" w:rsidR="00955E82" w:rsidRDefault="00955E82">
          <w:pPr>
            <w:pStyle w:val="TM2"/>
            <w:tabs>
              <w:tab w:val="right" w:leader="dot" w:pos="9062"/>
            </w:tabs>
            <w:rPr>
              <w:rFonts w:eastAsiaTheme="minorEastAsia"/>
              <w:noProof/>
              <w:sz w:val="24"/>
              <w:lang w:eastAsia="fr-FR"/>
            </w:rPr>
          </w:pPr>
          <w:hyperlink w:anchor="_Toc217928621" w:history="1">
            <w:r w:rsidRPr="00D833E8">
              <w:rPr>
                <w:rStyle w:val="Lienhypertexte"/>
                <w:noProof/>
              </w:rPr>
              <w:t>4. Boucle fermée entre journaux et sociétés médicales</w:t>
            </w:r>
            <w:r>
              <w:rPr>
                <w:noProof/>
                <w:webHidden/>
              </w:rPr>
              <w:tab/>
            </w:r>
            <w:r>
              <w:rPr>
                <w:noProof/>
                <w:webHidden/>
              </w:rPr>
              <w:fldChar w:fldCharType="begin"/>
            </w:r>
            <w:r>
              <w:rPr>
                <w:noProof/>
                <w:webHidden/>
              </w:rPr>
              <w:instrText xml:space="preserve"> PAGEREF _Toc217928621 \h </w:instrText>
            </w:r>
            <w:r>
              <w:rPr>
                <w:noProof/>
                <w:webHidden/>
              </w:rPr>
            </w:r>
            <w:r>
              <w:rPr>
                <w:noProof/>
                <w:webHidden/>
              </w:rPr>
              <w:fldChar w:fldCharType="separate"/>
            </w:r>
            <w:r w:rsidR="00FE4546">
              <w:rPr>
                <w:noProof/>
                <w:webHidden/>
              </w:rPr>
              <w:t>11</w:t>
            </w:r>
            <w:r>
              <w:rPr>
                <w:noProof/>
                <w:webHidden/>
              </w:rPr>
              <w:fldChar w:fldCharType="end"/>
            </w:r>
          </w:hyperlink>
        </w:p>
        <w:p w14:paraId="65EDFBBB" w14:textId="4E9617C5" w:rsidR="00955E82" w:rsidRDefault="00955E82">
          <w:pPr>
            <w:pStyle w:val="TM3"/>
            <w:tabs>
              <w:tab w:val="right" w:leader="dot" w:pos="9062"/>
            </w:tabs>
            <w:rPr>
              <w:rFonts w:eastAsiaTheme="minorEastAsia"/>
              <w:noProof/>
              <w:sz w:val="24"/>
              <w:lang w:eastAsia="fr-FR"/>
            </w:rPr>
          </w:pPr>
          <w:hyperlink w:anchor="_Toc217928622" w:history="1">
            <w:r w:rsidRPr="00D833E8">
              <w:rPr>
                <w:rStyle w:val="Lienhypertexte"/>
                <w:noProof/>
              </w:rPr>
              <w:t>4.1. Rôle des sociétés médicales</w:t>
            </w:r>
            <w:r>
              <w:rPr>
                <w:noProof/>
                <w:webHidden/>
              </w:rPr>
              <w:tab/>
            </w:r>
            <w:r>
              <w:rPr>
                <w:noProof/>
                <w:webHidden/>
              </w:rPr>
              <w:fldChar w:fldCharType="begin"/>
            </w:r>
            <w:r>
              <w:rPr>
                <w:noProof/>
                <w:webHidden/>
              </w:rPr>
              <w:instrText xml:space="preserve"> PAGEREF _Toc217928622 \h </w:instrText>
            </w:r>
            <w:r>
              <w:rPr>
                <w:noProof/>
                <w:webHidden/>
              </w:rPr>
            </w:r>
            <w:r>
              <w:rPr>
                <w:noProof/>
                <w:webHidden/>
              </w:rPr>
              <w:fldChar w:fldCharType="separate"/>
            </w:r>
            <w:r w:rsidR="00FE4546">
              <w:rPr>
                <w:noProof/>
                <w:webHidden/>
              </w:rPr>
              <w:t>11</w:t>
            </w:r>
            <w:r>
              <w:rPr>
                <w:noProof/>
                <w:webHidden/>
              </w:rPr>
              <w:fldChar w:fldCharType="end"/>
            </w:r>
          </w:hyperlink>
        </w:p>
        <w:p w14:paraId="75DF1A3C" w14:textId="6EC18136" w:rsidR="00955E82" w:rsidRDefault="00955E82">
          <w:pPr>
            <w:pStyle w:val="TM3"/>
            <w:tabs>
              <w:tab w:val="right" w:leader="dot" w:pos="9062"/>
            </w:tabs>
            <w:rPr>
              <w:rFonts w:eastAsiaTheme="minorEastAsia"/>
              <w:noProof/>
              <w:sz w:val="24"/>
              <w:lang w:eastAsia="fr-FR"/>
            </w:rPr>
          </w:pPr>
          <w:hyperlink w:anchor="_Toc217928623" w:history="1">
            <w:r w:rsidRPr="00D833E8">
              <w:rPr>
                <w:rStyle w:val="Lienhypertexte"/>
                <w:noProof/>
              </w:rPr>
              <w:t>4.2. Concernant les lignes directrices/déclaration, de politique de sociétés médicales</w:t>
            </w:r>
            <w:r>
              <w:rPr>
                <w:noProof/>
                <w:webHidden/>
              </w:rPr>
              <w:tab/>
            </w:r>
            <w:r>
              <w:rPr>
                <w:noProof/>
                <w:webHidden/>
              </w:rPr>
              <w:fldChar w:fldCharType="begin"/>
            </w:r>
            <w:r>
              <w:rPr>
                <w:noProof/>
                <w:webHidden/>
              </w:rPr>
              <w:instrText xml:space="preserve"> PAGEREF _Toc217928623 \h </w:instrText>
            </w:r>
            <w:r>
              <w:rPr>
                <w:noProof/>
                <w:webHidden/>
              </w:rPr>
            </w:r>
            <w:r>
              <w:rPr>
                <w:noProof/>
                <w:webHidden/>
              </w:rPr>
              <w:fldChar w:fldCharType="separate"/>
            </w:r>
            <w:r w:rsidR="00FE4546">
              <w:rPr>
                <w:noProof/>
                <w:webHidden/>
              </w:rPr>
              <w:t>11</w:t>
            </w:r>
            <w:r>
              <w:rPr>
                <w:noProof/>
                <w:webHidden/>
              </w:rPr>
              <w:fldChar w:fldCharType="end"/>
            </w:r>
          </w:hyperlink>
        </w:p>
        <w:p w14:paraId="0AFE5FD1" w14:textId="212F1349" w:rsidR="00955E82" w:rsidRDefault="00955E82">
          <w:pPr>
            <w:pStyle w:val="TM3"/>
            <w:tabs>
              <w:tab w:val="right" w:leader="dot" w:pos="9062"/>
            </w:tabs>
            <w:rPr>
              <w:rFonts w:eastAsiaTheme="minorEastAsia"/>
              <w:noProof/>
              <w:sz w:val="24"/>
              <w:lang w:eastAsia="fr-FR"/>
            </w:rPr>
          </w:pPr>
          <w:hyperlink w:anchor="_Toc217928624" w:history="1">
            <w:r w:rsidRPr="00D833E8">
              <w:rPr>
                <w:rStyle w:val="Lienhypertexte"/>
                <w:noProof/>
              </w:rPr>
              <w:t>4.3. Concernant les prises de position de sociétés médicales américaines</w:t>
            </w:r>
            <w:r>
              <w:rPr>
                <w:noProof/>
                <w:webHidden/>
              </w:rPr>
              <w:tab/>
            </w:r>
            <w:r>
              <w:rPr>
                <w:noProof/>
                <w:webHidden/>
              </w:rPr>
              <w:fldChar w:fldCharType="begin"/>
            </w:r>
            <w:r>
              <w:rPr>
                <w:noProof/>
                <w:webHidden/>
              </w:rPr>
              <w:instrText xml:space="preserve"> PAGEREF _Toc217928624 \h </w:instrText>
            </w:r>
            <w:r>
              <w:rPr>
                <w:noProof/>
                <w:webHidden/>
              </w:rPr>
            </w:r>
            <w:r>
              <w:rPr>
                <w:noProof/>
                <w:webHidden/>
              </w:rPr>
              <w:fldChar w:fldCharType="separate"/>
            </w:r>
            <w:r w:rsidR="00FE4546">
              <w:rPr>
                <w:noProof/>
                <w:webHidden/>
              </w:rPr>
              <w:t>13</w:t>
            </w:r>
            <w:r>
              <w:rPr>
                <w:noProof/>
                <w:webHidden/>
              </w:rPr>
              <w:fldChar w:fldCharType="end"/>
            </w:r>
          </w:hyperlink>
        </w:p>
        <w:p w14:paraId="5BAE9DAE" w14:textId="71964331" w:rsidR="00955E82" w:rsidRDefault="00955E82">
          <w:pPr>
            <w:pStyle w:val="TM3"/>
            <w:tabs>
              <w:tab w:val="right" w:leader="dot" w:pos="9062"/>
            </w:tabs>
            <w:rPr>
              <w:rFonts w:eastAsiaTheme="minorEastAsia"/>
              <w:noProof/>
              <w:sz w:val="24"/>
              <w:lang w:eastAsia="fr-FR"/>
            </w:rPr>
          </w:pPr>
          <w:hyperlink w:anchor="_Toc217928625" w:history="1">
            <w:r w:rsidRPr="00D833E8">
              <w:rPr>
                <w:rStyle w:val="Lienhypertexte"/>
                <w:noProof/>
              </w:rPr>
              <w:t>4.4. Réactions de ces sociétés vis-à-vis de directives parvenant à des conclusions contraires</w:t>
            </w:r>
            <w:r>
              <w:rPr>
                <w:noProof/>
                <w:webHidden/>
              </w:rPr>
              <w:tab/>
            </w:r>
            <w:r>
              <w:rPr>
                <w:noProof/>
                <w:webHidden/>
              </w:rPr>
              <w:fldChar w:fldCharType="begin"/>
            </w:r>
            <w:r>
              <w:rPr>
                <w:noProof/>
                <w:webHidden/>
              </w:rPr>
              <w:instrText xml:space="preserve"> PAGEREF _Toc217928625 \h </w:instrText>
            </w:r>
            <w:r>
              <w:rPr>
                <w:noProof/>
                <w:webHidden/>
              </w:rPr>
            </w:r>
            <w:r>
              <w:rPr>
                <w:noProof/>
                <w:webHidden/>
              </w:rPr>
              <w:fldChar w:fldCharType="separate"/>
            </w:r>
            <w:r w:rsidR="00FE4546">
              <w:rPr>
                <w:noProof/>
                <w:webHidden/>
              </w:rPr>
              <w:t>13</w:t>
            </w:r>
            <w:r>
              <w:rPr>
                <w:noProof/>
                <w:webHidden/>
              </w:rPr>
              <w:fldChar w:fldCharType="end"/>
            </w:r>
          </w:hyperlink>
        </w:p>
        <w:p w14:paraId="54E4045C" w14:textId="126865BC" w:rsidR="00955E82" w:rsidRDefault="00955E82">
          <w:pPr>
            <w:pStyle w:val="TM3"/>
            <w:tabs>
              <w:tab w:val="right" w:leader="dot" w:pos="9062"/>
            </w:tabs>
            <w:rPr>
              <w:rFonts w:eastAsiaTheme="minorEastAsia"/>
              <w:noProof/>
              <w:sz w:val="24"/>
              <w:lang w:eastAsia="fr-FR"/>
            </w:rPr>
          </w:pPr>
          <w:hyperlink w:anchor="_Toc217928626" w:history="1">
            <w:r w:rsidRPr="00D833E8">
              <w:rPr>
                <w:rStyle w:val="Lienhypertexte"/>
                <w:noProof/>
              </w:rPr>
              <w:t>Conclusion : Boucle fermée</w:t>
            </w:r>
            <w:r>
              <w:rPr>
                <w:noProof/>
                <w:webHidden/>
              </w:rPr>
              <w:tab/>
            </w:r>
            <w:r>
              <w:rPr>
                <w:noProof/>
                <w:webHidden/>
              </w:rPr>
              <w:fldChar w:fldCharType="begin"/>
            </w:r>
            <w:r>
              <w:rPr>
                <w:noProof/>
                <w:webHidden/>
              </w:rPr>
              <w:instrText xml:space="preserve"> PAGEREF _Toc217928626 \h </w:instrText>
            </w:r>
            <w:r>
              <w:rPr>
                <w:noProof/>
                <w:webHidden/>
              </w:rPr>
            </w:r>
            <w:r>
              <w:rPr>
                <w:noProof/>
                <w:webHidden/>
              </w:rPr>
              <w:fldChar w:fldCharType="separate"/>
            </w:r>
            <w:r w:rsidR="00FE4546">
              <w:rPr>
                <w:noProof/>
                <w:webHidden/>
              </w:rPr>
              <w:t>14</w:t>
            </w:r>
            <w:r>
              <w:rPr>
                <w:noProof/>
                <w:webHidden/>
              </w:rPr>
              <w:fldChar w:fldCharType="end"/>
            </w:r>
          </w:hyperlink>
        </w:p>
        <w:p w14:paraId="4A8829B1" w14:textId="6F0146EE" w:rsidR="00955E82" w:rsidRDefault="00955E82">
          <w:pPr>
            <w:pStyle w:val="TM2"/>
            <w:tabs>
              <w:tab w:val="right" w:leader="dot" w:pos="9062"/>
            </w:tabs>
            <w:rPr>
              <w:rFonts w:eastAsiaTheme="minorEastAsia"/>
              <w:noProof/>
              <w:sz w:val="24"/>
              <w:lang w:eastAsia="fr-FR"/>
            </w:rPr>
          </w:pPr>
          <w:hyperlink w:anchor="_Toc217928627" w:history="1">
            <w:r w:rsidRPr="00D833E8">
              <w:rPr>
                <w:rStyle w:val="Lienhypertexte"/>
                <w:noProof/>
              </w:rPr>
              <w:t>5. Impact médical</w:t>
            </w:r>
            <w:r>
              <w:rPr>
                <w:noProof/>
                <w:webHidden/>
              </w:rPr>
              <w:tab/>
            </w:r>
            <w:r>
              <w:rPr>
                <w:noProof/>
                <w:webHidden/>
              </w:rPr>
              <w:fldChar w:fldCharType="begin"/>
            </w:r>
            <w:r>
              <w:rPr>
                <w:noProof/>
                <w:webHidden/>
              </w:rPr>
              <w:instrText xml:space="preserve"> PAGEREF _Toc217928627 \h </w:instrText>
            </w:r>
            <w:r>
              <w:rPr>
                <w:noProof/>
                <w:webHidden/>
              </w:rPr>
            </w:r>
            <w:r>
              <w:rPr>
                <w:noProof/>
                <w:webHidden/>
              </w:rPr>
              <w:fldChar w:fldCharType="separate"/>
            </w:r>
            <w:r w:rsidR="00FE4546">
              <w:rPr>
                <w:noProof/>
                <w:webHidden/>
              </w:rPr>
              <w:t>15</w:t>
            </w:r>
            <w:r>
              <w:rPr>
                <w:noProof/>
                <w:webHidden/>
              </w:rPr>
              <w:fldChar w:fldCharType="end"/>
            </w:r>
          </w:hyperlink>
        </w:p>
        <w:p w14:paraId="18670804" w14:textId="64B45732" w:rsidR="00097344" w:rsidRDefault="00283F8F" w:rsidP="00E63A65">
          <w:r>
            <w:rPr>
              <w:b/>
              <w:bCs/>
            </w:rPr>
            <w:fldChar w:fldCharType="end"/>
          </w:r>
        </w:p>
      </w:sdtContent>
    </w:sdt>
    <w:p w14:paraId="5D052CB8" w14:textId="538031C3" w:rsidR="00F3576D" w:rsidRPr="00AD3EFD" w:rsidRDefault="00F3576D" w:rsidP="00F30C9C">
      <w:pPr>
        <w:pStyle w:val="Titre2"/>
      </w:pPr>
      <w:bookmarkStart w:id="1" w:name="_Introduction_:_constats"/>
      <w:bookmarkStart w:id="2" w:name="_Toc217928608"/>
      <w:bookmarkEnd w:id="1"/>
      <w:r w:rsidRPr="00AD3EFD">
        <w:t>Introduction</w:t>
      </w:r>
      <w:r w:rsidR="009B5E52">
        <w:t> : constats</w:t>
      </w:r>
      <w:bookmarkEnd w:id="2"/>
    </w:p>
    <w:p w14:paraId="5588ABC3" w14:textId="2417800C" w:rsidR="00693994" w:rsidRDefault="00693994" w:rsidP="00693994">
      <w:r>
        <w:t xml:space="preserve">Cohn </w:t>
      </w:r>
      <w:r w:rsidR="00CF7B88">
        <w:t>dresse</w:t>
      </w:r>
      <w:r>
        <w:t xml:space="preserve"> le constat actuel</w:t>
      </w:r>
      <w:r w:rsidR="00CF7B88">
        <w:t> :</w:t>
      </w:r>
    </w:p>
    <w:p w14:paraId="2FA299F0" w14:textId="3AFEA18F" w:rsidR="00F3576D" w:rsidRDefault="00C54EC0" w:rsidP="00C36F3D">
      <w:pPr>
        <w:pStyle w:val="Paragraphedeliste"/>
        <w:numPr>
          <w:ilvl w:val="0"/>
          <w:numId w:val="3"/>
        </w:numPr>
        <w:ind w:left="357" w:hanging="357"/>
      </w:pPr>
      <w:r>
        <w:t>Aux US, les i</w:t>
      </w:r>
      <w:r w:rsidR="00F3576D" w:rsidRPr="00F3576D">
        <w:t>nterventions médicales</w:t>
      </w:r>
      <w:r>
        <w:t xml:space="preserve"> sont</w:t>
      </w:r>
      <w:r w:rsidR="00F3576D" w:rsidRPr="00F3576D">
        <w:t xml:space="preserve"> </w:t>
      </w:r>
      <w:r w:rsidR="00F3576D" w:rsidRPr="00AD3EFD">
        <w:rPr>
          <w:b/>
          <w:bCs/>
        </w:rPr>
        <w:t>déjà largement pratiquées</w:t>
      </w:r>
      <w:r w:rsidR="00F3576D" w:rsidRPr="00F3576D">
        <w:t xml:space="preserve">, y compris chez des </w:t>
      </w:r>
      <w:r w:rsidR="00F3576D" w:rsidRPr="00AD3EFD">
        <w:rPr>
          <w:b/>
          <w:bCs/>
        </w:rPr>
        <w:t>mineurs très jeunes</w:t>
      </w:r>
      <w:r w:rsidR="00F3576D" w:rsidRPr="00F3576D">
        <w:t>, parfois rapidement et avec peu d’évaluations préalables</w:t>
      </w:r>
      <w:r>
        <w:t>.</w:t>
      </w:r>
    </w:p>
    <w:p w14:paraId="0439EC6D" w14:textId="757974B2" w:rsidR="00F3576D" w:rsidRPr="00F3576D" w:rsidRDefault="00313CF4" w:rsidP="00C36F3D">
      <w:pPr>
        <w:pStyle w:val="Paragraphedeliste"/>
        <w:numPr>
          <w:ilvl w:val="0"/>
          <w:numId w:val="3"/>
        </w:numPr>
        <w:ind w:left="357" w:hanging="357"/>
      </w:pPr>
      <w:r w:rsidRPr="00AD3EFD">
        <w:rPr>
          <w:b/>
          <w:bCs/>
        </w:rPr>
        <w:t>P</w:t>
      </w:r>
      <w:r w:rsidR="00F3576D" w:rsidRPr="00AD3EFD">
        <w:rPr>
          <w:b/>
          <w:bCs/>
        </w:rPr>
        <w:t>as de consensus médical</w:t>
      </w:r>
      <w:r w:rsidR="00F3576D" w:rsidRPr="00F3576D">
        <w:t xml:space="preserve"> sur l’usage de ces interventions ni sur la meilleure manière de traiter la dysphorie de genre.</w:t>
      </w:r>
    </w:p>
    <w:p w14:paraId="77316516" w14:textId="77777777" w:rsidR="00AD3EFD" w:rsidRDefault="00AD3EFD" w:rsidP="00C36F3D">
      <w:pPr>
        <w:pStyle w:val="Paragraphedeliste"/>
        <w:numPr>
          <w:ilvl w:val="0"/>
          <w:numId w:val="3"/>
        </w:numPr>
        <w:ind w:left="357" w:hanging="357"/>
        <w:rPr>
          <w:b/>
          <w:bCs/>
        </w:rPr>
      </w:pPr>
      <w:r>
        <w:rPr>
          <w:b/>
          <w:bCs/>
        </w:rPr>
        <w:t xml:space="preserve">Concernant le rapport bénéfices/risques : </w:t>
      </w:r>
    </w:p>
    <w:p w14:paraId="3164391F" w14:textId="039BDED5" w:rsidR="00313CF4" w:rsidRPr="008146BA" w:rsidRDefault="00313CF4" w:rsidP="008146BA">
      <w:pPr>
        <w:pStyle w:val="Paragraphedeliste"/>
        <w:numPr>
          <w:ilvl w:val="0"/>
          <w:numId w:val="4"/>
        </w:numPr>
        <w:rPr>
          <w:b/>
          <w:bCs/>
        </w:rPr>
      </w:pPr>
      <w:r w:rsidRPr="00AD3EFD">
        <w:rPr>
          <w:b/>
          <w:bCs/>
        </w:rPr>
        <w:t xml:space="preserve">Absence de bénéfices </w:t>
      </w:r>
      <w:r w:rsidR="00F30C9C" w:rsidRPr="00F30C9C">
        <w:rPr>
          <w:b/>
          <w:bCs/>
        </w:rPr>
        <w:t xml:space="preserve">durablement démontrés </w:t>
      </w:r>
      <w:r w:rsidR="00F30C9C" w:rsidRPr="00F30C9C">
        <w:t>sur la dysphorie, la santé mentale ou la prévention du suicide</w:t>
      </w:r>
      <w:r w:rsidR="00F30C9C">
        <w:t xml:space="preserve"> </w:t>
      </w:r>
      <w:r w:rsidR="00A70C84" w:rsidRPr="00F30C9C">
        <w:t xml:space="preserve">: </w:t>
      </w:r>
      <w:r w:rsidR="00A70C84" w:rsidRPr="00A70C84">
        <w:t xml:space="preserve">de nombreuses revues systématiques rigoureuses concluent à un niveau de </w:t>
      </w:r>
      <w:r w:rsidR="00A70C84" w:rsidRPr="00F30C9C">
        <w:rPr>
          <w:b/>
          <w:bCs/>
        </w:rPr>
        <w:t>certitude faible ou très faible</w:t>
      </w:r>
      <w:r w:rsidR="00A70C84" w:rsidRPr="00A70C84">
        <w:t xml:space="preserve"> concernant le bénéfice de ces interventions</w:t>
      </w:r>
      <w:r w:rsidR="002A3EC5">
        <w:t xml:space="preserve">, </w:t>
      </w:r>
      <w:r w:rsidR="00F30C9C" w:rsidRPr="00F30C9C">
        <w:t>indiquant une confiance limitée</w:t>
      </w:r>
      <w:r w:rsidR="00F30C9C">
        <w:t>/très faible</w:t>
      </w:r>
      <w:r w:rsidR="00F30C9C" w:rsidRPr="00F30C9C">
        <w:t xml:space="preserve"> dans le fait que les effets estimés reflètent les effets réels</w:t>
      </w:r>
      <w:r w:rsidR="00A37BBA">
        <w:t xml:space="preserve"> (</w:t>
      </w:r>
      <w:proofErr w:type="spellStart"/>
      <w:r w:rsidR="00A37BBA" w:rsidRPr="002F5534">
        <w:t>McDeavitt</w:t>
      </w:r>
      <w:proofErr w:type="spellEnd"/>
      <w:r w:rsidR="00A37BBA" w:rsidRPr="002F5534">
        <w:t xml:space="preserve"> et al., </w:t>
      </w:r>
      <w:hyperlink r:id="rId9" w:tooltip="Pediatric gender affirming care is not evidence-based" w:history="1">
        <w:r w:rsidR="00A37BBA" w:rsidRPr="002F5534">
          <w:rPr>
            <w:rStyle w:val="Lienhypertexte"/>
          </w:rPr>
          <w:t>2025a</w:t>
        </w:r>
      </w:hyperlink>
      <w:r w:rsidR="00A93CA2">
        <w:t xml:space="preserve"> + chapitre 5 du rapport « </w:t>
      </w:r>
      <w:proofErr w:type="spellStart"/>
      <w:r w:rsidR="00A93CA2">
        <w:rPr>
          <w:i/>
          <w:iCs/>
        </w:rPr>
        <w:fldChar w:fldCharType="begin"/>
      </w:r>
      <w:r w:rsidR="00A93CA2">
        <w:rPr>
          <w:i/>
          <w:iCs/>
        </w:rPr>
        <w:instrText>HYPERLINK "https://opa.hhs.gov/sites/default/files/2025-11/gender-dysphoria-report.pdf" \o "rapport publié par le US Department of Health and Human Services en 2025"</w:instrText>
      </w:r>
      <w:r w:rsidR="00A93CA2">
        <w:rPr>
          <w:i/>
          <w:iCs/>
        </w:rPr>
      </w:r>
      <w:r w:rsidR="00A93CA2">
        <w:rPr>
          <w:i/>
          <w:iCs/>
        </w:rPr>
        <w:fldChar w:fldCharType="separate"/>
      </w:r>
      <w:r w:rsidR="00A93CA2" w:rsidRPr="00BA54CF">
        <w:rPr>
          <w:rStyle w:val="Lienhypertexte"/>
          <w:i/>
          <w:iCs/>
        </w:rPr>
        <w:t>Treatment</w:t>
      </w:r>
      <w:proofErr w:type="spellEnd"/>
      <w:r w:rsidR="00A93CA2" w:rsidRPr="00BA54CF">
        <w:rPr>
          <w:rStyle w:val="Lienhypertexte"/>
          <w:i/>
          <w:iCs/>
        </w:rPr>
        <w:t xml:space="preserve"> for </w:t>
      </w:r>
      <w:proofErr w:type="spellStart"/>
      <w:r w:rsidR="00A93CA2" w:rsidRPr="00BA54CF">
        <w:rPr>
          <w:rStyle w:val="Lienhypertexte"/>
          <w:i/>
          <w:iCs/>
        </w:rPr>
        <w:t>Pediatric</w:t>
      </w:r>
      <w:proofErr w:type="spellEnd"/>
      <w:r w:rsidR="00A93CA2" w:rsidRPr="00BA54CF">
        <w:rPr>
          <w:rStyle w:val="Lienhypertexte"/>
          <w:i/>
          <w:iCs/>
        </w:rPr>
        <w:t xml:space="preserve"> </w:t>
      </w:r>
      <w:proofErr w:type="spellStart"/>
      <w:r w:rsidR="00A93CA2" w:rsidRPr="00BA54CF">
        <w:rPr>
          <w:rStyle w:val="Lienhypertexte"/>
          <w:i/>
          <w:iCs/>
        </w:rPr>
        <w:t>Gender</w:t>
      </w:r>
      <w:proofErr w:type="spellEnd"/>
      <w:r w:rsidR="00A93CA2" w:rsidRPr="00BA54CF">
        <w:rPr>
          <w:rStyle w:val="Lienhypertexte"/>
          <w:i/>
          <w:iCs/>
        </w:rPr>
        <w:t xml:space="preserve"> </w:t>
      </w:r>
      <w:proofErr w:type="spellStart"/>
      <w:r w:rsidR="00A93CA2" w:rsidRPr="00BA54CF">
        <w:rPr>
          <w:rStyle w:val="Lienhypertexte"/>
          <w:i/>
          <w:iCs/>
        </w:rPr>
        <w:t>Dysphoria</w:t>
      </w:r>
      <w:proofErr w:type="spellEnd"/>
      <w:r w:rsidR="00A93CA2">
        <w:rPr>
          <w:i/>
          <w:iCs/>
        </w:rPr>
        <w:fldChar w:fldCharType="end"/>
      </w:r>
      <w:r w:rsidR="00A93CA2">
        <w:t> » publié en 2025 par le ministère de la santé aux US</w:t>
      </w:r>
      <w:r w:rsidR="00A37BBA">
        <w:t>).</w:t>
      </w:r>
    </w:p>
    <w:p w14:paraId="75C6F135" w14:textId="52961DCB" w:rsidR="00AD3EFD" w:rsidRDefault="00410E60" w:rsidP="00B02115">
      <w:pPr>
        <w:pStyle w:val="Paragraphedeliste"/>
        <w:numPr>
          <w:ilvl w:val="0"/>
          <w:numId w:val="4"/>
        </w:numPr>
      </w:pPr>
      <w:r>
        <w:t>C</w:t>
      </w:r>
      <w:r w:rsidRPr="00410E60">
        <w:t xml:space="preserve">es bénéfices n’ont </w:t>
      </w:r>
      <w:r w:rsidRPr="00410E60">
        <w:rPr>
          <w:b/>
          <w:bCs/>
        </w:rPr>
        <w:t>pas été montrés comme supérieurs aux risques</w:t>
      </w:r>
      <w:r w:rsidR="00D51BE0">
        <w:t> </w:t>
      </w:r>
      <w:r w:rsidR="008146BA">
        <w:t xml:space="preserve">comme le </w:t>
      </w:r>
      <w:r w:rsidR="00D51BE0" w:rsidRPr="00D51BE0">
        <w:t>regret et détransition,</w:t>
      </w:r>
      <w:r w:rsidR="008146BA">
        <w:t xml:space="preserve"> des </w:t>
      </w:r>
      <w:r w:rsidR="00D51BE0" w:rsidRPr="00D51BE0">
        <w:t>atteintes possibles à la fertilité,</w:t>
      </w:r>
      <w:r w:rsidR="008146BA">
        <w:t xml:space="preserve"> les </w:t>
      </w:r>
      <w:r w:rsidR="00D51BE0" w:rsidRPr="00D51BE0">
        <w:t>effets sur les os, le système cardiovasculaire et les organes reproducteurs.</w:t>
      </w:r>
    </w:p>
    <w:p w14:paraId="1FF9192F" w14:textId="4631C3CC" w:rsidR="004555B6" w:rsidRDefault="00AF013C" w:rsidP="00C36F3D">
      <w:pPr>
        <w:pStyle w:val="Paragraphedeliste"/>
        <w:numPr>
          <w:ilvl w:val="0"/>
          <w:numId w:val="3"/>
        </w:numPr>
        <w:ind w:left="357" w:hanging="357"/>
      </w:pPr>
      <w:r w:rsidRPr="00AF013C">
        <w:rPr>
          <w:b/>
          <w:bCs/>
        </w:rPr>
        <w:t>Concernant</w:t>
      </w:r>
      <w:r w:rsidR="002A00EA" w:rsidRPr="00AF013C">
        <w:rPr>
          <w:b/>
          <w:bCs/>
        </w:rPr>
        <w:t xml:space="preserve"> l</w:t>
      </w:r>
      <w:r w:rsidRPr="00AF013C">
        <w:rPr>
          <w:b/>
          <w:bCs/>
        </w:rPr>
        <w:t>’indication clinique :</w:t>
      </w:r>
      <w:r>
        <w:t xml:space="preserve"> d</w:t>
      </w:r>
      <w:r w:rsidR="00410E60" w:rsidRPr="00410E60">
        <w:t xml:space="preserve">e grandes </w:t>
      </w:r>
      <w:r w:rsidR="00410E60" w:rsidRPr="00AF013C">
        <w:rPr>
          <w:b/>
          <w:bCs/>
        </w:rPr>
        <w:t>incertitudes</w:t>
      </w:r>
      <w:r w:rsidR="00410E60" w:rsidRPr="00410E60">
        <w:t xml:space="preserve"> fondamentales</w:t>
      </w:r>
      <w:r w:rsidR="00D2677C">
        <w:t xml:space="preserve"> demeurent</w:t>
      </w:r>
      <w:r w:rsidR="008146BA">
        <w:t xml:space="preserve"> </w:t>
      </w:r>
      <w:r w:rsidR="00410E60">
        <w:t>sur </w:t>
      </w:r>
      <w:r w:rsidR="000E51F2">
        <w:t>l’</w:t>
      </w:r>
      <w:r w:rsidR="00BC3F49" w:rsidRPr="00BC3F49">
        <w:t>origine</w:t>
      </w:r>
      <w:r w:rsidR="00BC3F49" w:rsidRPr="000E51F2">
        <w:rPr>
          <w:b/>
          <w:bCs/>
        </w:rPr>
        <w:t xml:space="preserve"> et les causes de la dysphorie de genre</w:t>
      </w:r>
      <w:r w:rsidR="000E51F2">
        <w:rPr>
          <w:b/>
          <w:bCs/>
        </w:rPr>
        <w:t xml:space="preserve">, </w:t>
      </w:r>
      <w:r w:rsidR="002B6AE7" w:rsidRPr="002B6AE7">
        <w:t>de savoir</w:t>
      </w:r>
      <w:r w:rsidR="002B6AE7">
        <w:rPr>
          <w:b/>
          <w:bCs/>
        </w:rPr>
        <w:t xml:space="preserve"> </w:t>
      </w:r>
      <w:r w:rsidR="00B02115" w:rsidRPr="00B02115">
        <w:t xml:space="preserve">qui </w:t>
      </w:r>
      <w:r w:rsidR="00B02115" w:rsidRPr="000E51F2">
        <w:rPr>
          <w:b/>
          <w:bCs/>
        </w:rPr>
        <w:t>persistera ou non</w:t>
      </w:r>
      <w:r w:rsidR="00B02115" w:rsidRPr="00B02115">
        <w:t xml:space="preserve"> dans le temps</w:t>
      </w:r>
      <w:r w:rsidR="002B6AE7">
        <w:t xml:space="preserve"> et</w:t>
      </w:r>
      <w:r w:rsidR="000E51F2">
        <w:t xml:space="preserve"> </w:t>
      </w:r>
      <w:r w:rsidR="00B02115" w:rsidRPr="00B02115">
        <w:t xml:space="preserve">qui </w:t>
      </w:r>
      <w:r w:rsidR="00B02115" w:rsidRPr="000E51F2">
        <w:rPr>
          <w:b/>
          <w:bCs/>
        </w:rPr>
        <w:t xml:space="preserve">pourrait </w:t>
      </w:r>
      <w:r w:rsidRPr="000E51F2">
        <w:rPr>
          <w:b/>
          <w:bCs/>
        </w:rPr>
        <w:t>tirer bénéfice</w:t>
      </w:r>
      <w:r w:rsidR="00B02115" w:rsidRPr="00B02115">
        <w:t xml:space="preserve"> d’une transition médicale.</w:t>
      </w:r>
    </w:p>
    <w:p w14:paraId="7460B148" w14:textId="20B215D8" w:rsidR="004555B6" w:rsidRPr="00B02115" w:rsidRDefault="009F303A" w:rsidP="00C36F3D">
      <w:pPr>
        <w:pStyle w:val="Paragraphedeliste"/>
        <w:numPr>
          <w:ilvl w:val="0"/>
          <w:numId w:val="3"/>
        </w:numPr>
        <w:ind w:left="357" w:hanging="357"/>
      </w:pPr>
      <w:r>
        <w:rPr>
          <w:b/>
          <w:bCs/>
        </w:rPr>
        <w:t>Concernant les a</w:t>
      </w:r>
      <w:r w:rsidR="00B02115" w:rsidRPr="004555B6">
        <w:rPr>
          <w:b/>
          <w:bCs/>
        </w:rPr>
        <w:t>pproches non médicales</w:t>
      </w:r>
      <w:r w:rsidR="00B02115" w:rsidRPr="00B02115">
        <w:t xml:space="preserve"> (attente vigilante, soutien psychologique)</w:t>
      </w:r>
      <w:r w:rsidR="00AB5800">
        <w:t> : e</w:t>
      </w:r>
      <w:r>
        <w:t>lles</w:t>
      </w:r>
      <w:r w:rsidR="004555B6">
        <w:t xml:space="preserve"> </w:t>
      </w:r>
      <w:r w:rsidR="00B02115" w:rsidRPr="00B02115">
        <w:t xml:space="preserve">reposent aussi sur des </w:t>
      </w:r>
      <w:r w:rsidR="00B02115" w:rsidRPr="00AB5800">
        <w:rPr>
          <w:b/>
          <w:bCs/>
        </w:rPr>
        <w:t>preuves limitées</w:t>
      </w:r>
      <w:r w:rsidR="00B02115" w:rsidRPr="00B02115">
        <w:t xml:space="preserve">, </w:t>
      </w:r>
      <w:r w:rsidR="00B02115" w:rsidRPr="00AB5800">
        <w:rPr>
          <w:b/>
          <w:bCs/>
        </w:rPr>
        <w:t>mais comportent beaucoup moins de risques</w:t>
      </w:r>
      <w:r w:rsidR="00B02115" w:rsidRPr="00B02115">
        <w:t>.</w:t>
      </w:r>
    </w:p>
    <w:p w14:paraId="731DD235" w14:textId="194E9041" w:rsidR="00AD3EFD" w:rsidRPr="004555B6" w:rsidRDefault="004555B6" w:rsidP="00C36F3D">
      <w:pPr>
        <w:pStyle w:val="Paragraphedeliste"/>
        <w:numPr>
          <w:ilvl w:val="0"/>
          <w:numId w:val="3"/>
        </w:numPr>
        <w:ind w:left="357" w:hanging="357"/>
        <w:rPr>
          <w:b/>
          <w:bCs/>
        </w:rPr>
      </w:pPr>
      <w:r w:rsidRPr="004555B6">
        <w:rPr>
          <w:b/>
          <w:bCs/>
        </w:rPr>
        <w:lastRenderedPageBreak/>
        <w:t>D</w:t>
      </w:r>
      <w:r w:rsidR="00AD3EFD" w:rsidRPr="004555B6">
        <w:rPr>
          <w:b/>
          <w:bCs/>
        </w:rPr>
        <w:t>éficit majeur de recherche de qualité</w:t>
      </w:r>
      <w:r w:rsidRPr="004555B6">
        <w:rPr>
          <w:b/>
          <w:bCs/>
        </w:rPr>
        <w:t> :</w:t>
      </w:r>
      <w:r>
        <w:rPr>
          <w:b/>
          <w:bCs/>
        </w:rPr>
        <w:t xml:space="preserve"> </w:t>
      </w:r>
      <w:r w:rsidR="00D2677C">
        <w:t>m</w:t>
      </w:r>
      <w:r w:rsidR="00AD3EFD" w:rsidRPr="00AD3EFD">
        <w:t>anque d’études de long terme</w:t>
      </w:r>
      <w:r>
        <w:t> ; é</w:t>
      </w:r>
      <w:r w:rsidR="00AD3EFD" w:rsidRPr="00AD3EFD">
        <w:t xml:space="preserve">tudes existantes méthodologiquement </w:t>
      </w:r>
      <w:r w:rsidR="00AB5800">
        <w:t xml:space="preserve">peu solides </w:t>
      </w:r>
      <w:r>
        <w:t xml:space="preserve">; </w:t>
      </w:r>
      <w:r w:rsidR="00AD3EFD" w:rsidRPr="00AD3EFD">
        <w:t>Quasi-absence d’essais contrôlés randomisés comparant traitement vs non-traitement.</w:t>
      </w:r>
    </w:p>
    <w:p w14:paraId="421AB98E" w14:textId="77777777" w:rsidR="00153269" w:rsidRDefault="00153269" w:rsidP="00E63A65"/>
    <w:p w14:paraId="0A1749A6" w14:textId="7D141A5F" w:rsidR="00153269" w:rsidRPr="00153269" w:rsidRDefault="00F30C9C" w:rsidP="004037B3">
      <w:pPr>
        <w:pStyle w:val="Titre2"/>
      </w:pPr>
      <w:bookmarkStart w:id="3" w:name="_Toc217928609"/>
      <w:r>
        <w:t>1</w:t>
      </w:r>
      <w:r w:rsidR="00153269" w:rsidRPr="00153269">
        <w:t xml:space="preserve">. </w:t>
      </w:r>
      <w:r w:rsidR="006F409E">
        <w:t>Censure et a</w:t>
      </w:r>
      <w:r w:rsidR="00153269" w:rsidRPr="00153269">
        <w:t>ffirmations non étayées, trompeuses ou erronées</w:t>
      </w:r>
      <w:bookmarkEnd w:id="3"/>
    </w:p>
    <w:p w14:paraId="0601645D" w14:textId="2C4F3086" w:rsidR="009F303A" w:rsidRDefault="00CF7B88" w:rsidP="00153269">
      <w:r>
        <w:t xml:space="preserve">Cohn fait le constat que </w:t>
      </w:r>
      <w:r w:rsidR="00A96853">
        <w:t>« </w:t>
      </w:r>
      <w:r w:rsidRPr="00A96853">
        <w:rPr>
          <w:i/>
          <w:iCs/>
        </w:rPr>
        <w:t>l</w:t>
      </w:r>
      <w:r w:rsidR="00153269" w:rsidRPr="00A96853">
        <w:rPr>
          <w:i/>
          <w:iCs/>
        </w:rPr>
        <w:t xml:space="preserve">e </w:t>
      </w:r>
      <w:r w:rsidR="00D81F79" w:rsidRPr="00A96853">
        <w:rPr>
          <w:i/>
          <w:iCs/>
        </w:rPr>
        <w:t>domaine</w:t>
      </w:r>
      <w:r w:rsidR="00153269" w:rsidRPr="00A96853">
        <w:rPr>
          <w:i/>
          <w:iCs/>
        </w:rPr>
        <w:t xml:space="preserve"> de la </w:t>
      </w:r>
      <w:r w:rsidR="00153269" w:rsidRPr="00A96853">
        <w:rPr>
          <w:b/>
          <w:bCs/>
          <w:i/>
          <w:iCs/>
        </w:rPr>
        <w:t>médecine du genre</w:t>
      </w:r>
      <w:r w:rsidR="00153269" w:rsidRPr="00A96853">
        <w:rPr>
          <w:i/>
          <w:iCs/>
        </w:rPr>
        <w:t xml:space="preserve"> </w:t>
      </w:r>
      <w:r w:rsidR="00AE1AE8" w:rsidRPr="00A96853">
        <w:rPr>
          <w:i/>
          <w:iCs/>
        </w:rPr>
        <w:t>est marqué par de la</w:t>
      </w:r>
      <w:r w:rsidR="00153269" w:rsidRPr="00A96853">
        <w:rPr>
          <w:i/>
          <w:iCs/>
        </w:rPr>
        <w:t xml:space="preserve"> </w:t>
      </w:r>
      <w:r w:rsidR="00153269" w:rsidRPr="00A96853">
        <w:rPr>
          <w:b/>
          <w:bCs/>
          <w:i/>
          <w:iCs/>
        </w:rPr>
        <w:t>désinformation</w:t>
      </w:r>
      <w:r w:rsidR="00153269" w:rsidRPr="00A96853">
        <w:rPr>
          <w:i/>
          <w:iCs/>
        </w:rPr>
        <w:t xml:space="preserve"> et de</w:t>
      </w:r>
      <w:r w:rsidR="00AE1AE8" w:rsidRPr="00A96853">
        <w:rPr>
          <w:i/>
          <w:iCs/>
        </w:rPr>
        <w:t xml:space="preserve"> la</w:t>
      </w:r>
      <w:r w:rsidR="00153269" w:rsidRPr="00A96853">
        <w:rPr>
          <w:i/>
          <w:iCs/>
        </w:rPr>
        <w:t xml:space="preserve"> </w:t>
      </w:r>
      <w:r w:rsidR="00153269" w:rsidRPr="00A96853">
        <w:rPr>
          <w:b/>
          <w:bCs/>
          <w:i/>
          <w:iCs/>
        </w:rPr>
        <w:t>censure</w:t>
      </w:r>
      <w:r w:rsidR="00A96853">
        <w:rPr>
          <w:b/>
          <w:bCs/>
        </w:rPr>
        <w:t> »</w:t>
      </w:r>
      <w:r w:rsidR="005136BD">
        <w:t> :</w:t>
      </w:r>
    </w:p>
    <w:p w14:paraId="5BB54410" w14:textId="72E39DB9" w:rsidR="00DD7E91" w:rsidRDefault="00F30C9C" w:rsidP="00386956">
      <w:pPr>
        <w:pStyle w:val="Titre3"/>
      </w:pPr>
      <w:bookmarkStart w:id="4" w:name="_Toc217928610"/>
      <w:r>
        <w:t>1</w:t>
      </w:r>
      <w:r w:rsidR="007D110D">
        <w:t xml:space="preserve">.1. </w:t>
      </w:r>
      <w:r w:rsidR="00386956" w:rsidRPr="00386956">
        <w:t>Entraves à la publication et à la correction scientifiques</w:t>
      </w:r>
      <w:bookmarkEnd w:id="4"/>
    </w:p>
    <w:p w14:paraId="4498DFAA" w14:textId="12623F1E" w:rsidR="00EB5FAF" w:rsidRPr="00EB5FAF" w:rsidRDefault="00EB5FAF" w:rsidP="00C1572E">
      <w:pPr>
        <w:pStyle w:val="Paragraphedeliste"/>
        <w:numPr>
          <w:ilvl w:val="0"/>
          <w:numId w:val="3"/>
        </w:numPr>
        <w:ind w:left="357" w:hanging="357"/>
      </w:pPr>
      <w:r w:rsidRPr="000F2918">
        <w:rPr>
          <w:b/>
          <w:bCs/>
        </w:rPr>
        <w:t>Pressions post-publication</w:t>
      </w:r>
      <w:r w:rsidR="000F2918" w:rsidRPr="000F2918">
        <w:rPr>
          <w:b/>
          <w:bCs/>
        </w:rPr>
        <w:t xml:space="preserve"> </w:t>
      </w:r>
    </w:p>
    <w:p w14:paraId="102EB766" w14:textId="39ADFC4F" w:rsidR="00EB5FAF" w:rsidRDefault="00EB5FAF" w:rsidP="00C1572E">
      <w:pPr>
        <w:pStyle w:val="Paragraphedeliste"/>
        <w:numPr>
          <w:ilvl w:val="1"/>
          <w:numId w:val="3"/>
        </w:numPr>
        <w:ind w:left="714" w:hanging="357"/>
      </w:pPr>
      <w:r>
        <w:rPr>
          <w:b/>
          <w:bCs/>
        </w:rPr>
        <w:t>r</w:t>
      </w:r>
      <w:r w:rsidR="009941A1" w:rsidRPr="009941A1">
        <w:rPr>
          <w:b/>
          <w:bCs/>
        </w:rPr>
        <w:t>étractation d’une étude</w:t>
      </w:r>
      <w:r w:rsidR="009941A1" w:rsidRPr="009941A1">
        <w:t xml:space="preserve"> à la suite de pressions externes </w:t>
      </w:r>
      <w:r w:rsidR="00755A21">
        <w:t>(</w:t>
      </w:r>
      <w:r w:rsidR="00153269" w:rsidRPr="00BF7EAA">
        <w:t xml:space="preserve">Bailey, </w:t>
      </w:r>
      <w:hyperlink r:id="rId10" w:tooltip="To improve sex research, don’t suppress ideas you dislike: Reply to Walters et al" w:history="1">
        <w:r w:rsidR="00153269" w:rsidRPr="00BF7EAA">
          <w:rPr>
            <w:rStyle w:val="Lienhypertexte"/>
          </w:rPr>
          <w:t>2024</w:t>
        </w:r>
      </w:hyperlink>
      <w:r w:rsidR="00194C11">
        <w:t xml:space="preserve">, voir </w:t>
      </w:r>
      <w:hyperlink w:anchor="_Travaux_critiques_publiés" w:history="1">
        <w:r w:rsidR="00194C11" w:rsidRPr="00B22706">
          <w:rPr>
            <w:rStyle w:val="Lienhypertexte"/>
          </w:rPr>
          <w:t xml:space="preserve">section </w:t>
        </w:r>
        <w:r w:rsidR="00B22706" w:rsidRPr="00B22706">
          <w:rPr>
            <w:rStyle w:val="Lienhypertexte"/>
          </w:rPr>
          <w:t>3</w:t>
        </w:r>
        <w:r w:rsidR="00194C11" w:rsidRPr="00B22706">
          <w:rPr>
            <w:rStyle w:val="Lienhypertexte"/>
          </w:rPr>
          <w:t>.3</w:t>
        </w:r>
      </w:hyperlink>
      <w:r w:rsidR="00755A21">
        <w:t>)</w:t>
      </w:r>
      <w:r w:rsidR="00153269" w:rsidRPr="00BF7EAA">
        <w:t xml:space="preserve"> ;</w:t>
      </w:r>
    </w:p>
    <w:p w14:paraId="52AB0012" w14:textId="205A1109" w:rsidR="00EB5FAF" w:rsidRPr="000A05EB" w:rsidRDefault="000A05EB" w:rsidP="00906E88">
      <w:pPr>
        <w:pStyle w:val="Paragraphedeliste"/>
        <w:numPr>
          <w:ilvl w:val="1"/>
          <w:numId w:val="3"/>
        </w:numPr>
        <w:ind w:left="714" w:hanging="357"/>
      </w:pPr>
      <w:r w:rsidRPr="000A05EB">
        <w:t>[</w:t>
      </w:r>
      <w:r w:rsidR="00906E88" w:rsidRPr="000A05EB">
        <w:rPr>
          <w:b/>
          <w:bCs/>
        </w:rPr>
        <w:t>réévaluation post-publication</w:t>
      </w:r>
      <w:r w:rsidR="00906E88" w:rsidRPr="000A05EB">
        <w:t xml:space="preserve"> et </w:t>
      </w:r>
      <w:r w:rsidR="00906E88" w:rsidRPr="000A05EB">
        <w:rPr>
          <w:b/>
          <w:bCs/>
        </w:rPr>
        <w:t>retrait d’un communiqué institutionnel</w:t>
      </w:r>
      <w:r w:rsidR="0032066A" w:rsidRPr="000A05EB">
        <w:t xml:space="preserve"> (université Brown)</w:t>
      </w:r>
      <w:r w:rsidR="00906E88" w:rsidRPr="000A05EB">
        <w:t xml:space="preserve"> après une mobilisation militante, sans modification substantielle des résultats lors de la republication (</w:t>
      </w:r>
      <w:r w:rsidR="00EB5FAF" w:rsidRPr="000A05EB">
        <w:t xml:space="preserve">étude descriptive de </w:t>
      </w:r>
      <w:proofErr w:type="spellStart"/>
      <w:r w:rsidR="00EB5FAF" w:rsidRPr="000A05EB">
        <w:t>Littman</w:t>
      </w:r>
      <w:proofErr w:type="spellEnd"/>
      <w:r w:rsidR="00052DF8" w:rsidRPr="000A05EB">
        <w:t xml:space="preserve">, </w:t>
      </w:r>
      <w:hyperlink r:id="rId11" w:tooltip="Parent reports of adolescents and young adults perceived to show signs of a rapid onset of gender dysphoria" w:history="1">
        <w:r w:rsidR="00EB5FAF" w:rsidRPr="000A05EB">
          <w:rPr>
            <w:rStyle w:val="Lienhypertexte"/>
            <w:color w:val="auto"/>
          </w:rPr>
          <w:t>2018</w:t>
        </w:r>
      </w:hyperlink>
      <w:r w:rsidR="00052DF8" w:rsidRPr="000A05EB">
        <w:t>).</w:t>
      </w:r>
      <w:r w:rsidR="00EB5FAF" w:rsidRPr="000A05EB">
        <w:t xml:space="preserve"> </w:t>
      </w:r>
      <w:r w:rsidR="00052DF8" w:rsidRPr="000A05EB">
        <w:t>E</w:t>
      </w:r>
      <w:r w:rsidR="00EB5FAF" w:rsidRPr="000A05EB">
        <w:t xml:space="preserve">n savoir plus dans l’article de  </w:t>
      </w:r>
      <w:hyperlink r:id="rId12" w:tooltip="Reader outcry prompts Brown to retract press release on trans teens" w:history="1">
        <w:r w:rsidR="00EB5FAF" w:rsidRPr="000A05EB">
          <w:rPr>
            <w:rStyle w:val="Lienhypertexte"/>
            <w:i/>
            <w:iCs/>
            <w:color w:val="156082" w:themeColor="accent1"/>
          </w:rPr>
          <w:t>Rétractation Watch</w:t>
        </w:r>
      </w:hyperlink>
      <w:r w:rsidR="00052DF8" w:rsidRPr="000A05EB">
        <w:t>.</w:t>
      </w:r>
      <w:r>
        <w:t>]</w:t>
      </w:r>
    </w:p>
    <w:p w14:paraId="4719969A" w14:textId="052E98F8" w:rsidR="00DD7E91" w:rsidRDefault="00DD7E91" w:rsidP="00EB5FAF">
      <w:pPr>
        <w:pStyle w:val="Paragraphedeliste"/>
        <w:ind w:left="714"/>
      </w:pPr>
    </w:p>
    <w:p w14:paraId="6E1825BB" w14:textId="36CB6A90" w:rsidR="00DD7E91" w:rsidRDefault="00A8707A" w:rsidP="00C1572E">
      <w:pPr>
        <w:pStyle w:val="Paragraphedeliste"/>
        <w:numPr>
          <w:ilvl w:val="0"/>
          <w:numId w:val="3"/>
        </w:numPr>
        <w:ind w:left="357" w:hanging="357"/>
      </w:pPr>
      <w:r w:rsidRPr="00A8707A">
        <w:rPr>
          <w:b/>
          <w:bCs/>
        </w:rPr>
        <w:t xml:space="preserve">Difficultés signalées pour publier une </w:t>
      </w:r>
      <w:r w:rsidRPr="00A8707A">
        <w:t>revue sur l’impact des bloqueurs sur la fonction neuropsychologique</w:t>
      </w:r>
      <w:r w:rsidR="00997F04" w:rsidRPr="00A8707A">
        <w:t xml:space="preserve"> </w:t>
      </w:r>
      <w:r w:rsidR="00755A21" w:rsidRPr="00A8707A">
        <w:t>(</w:t>
      </w:r>
      <w:r w:rsidR="00153269" w:rsidRPr="00BF7EAA">
        <w:t xml:space="preserve">Baxendale, </w:t>
      </w:r>
      <w:hyperlink r:id="rId13" w:tooltip="The impact of suppressing puberty on neuropsychological function: A review" w:history="1">
        <w:r w:rsidR="00153269" w:rsidRPr="00BF7EAA">
          <w:rPr>
            <w:rStyle w:val="Lienhypertexte"/>
          </w:rPr>
          <w:t>2024</w:t>
        </w:r>
      </w:hyperlink>
      <w:r w:rsidR="00E53C9C">
        <w:t> :</w:t>
      </w:r>
      <w:r w:rsidR="00877600">
        <w:t xml:space="preserve"> </w:t>
      </w:r>
      <w:r w:rsidR="00906A58">
        <w:t>Baxendale</w:t>
      </w:r>
      <w:r w:rsidR="001F49A5">
        <w:t xml:space="preserve"> </w:t>
      </w:r>
      <w:r w:rsidR="00877600">
        <w:t xml:space="preserve">décrit </w:t>
      </w:r>
      <w:r w:rsidR="006B1B50">
        <w:t xml:space="preserve">sur </w:t>
      </w:r>
      <w:hyperlink r:id="rId14" w:tooltip="Why did three journals reject my puberty-blocker study? Trans children deserve to know the facts" w:history="1">
        <w:proofErr w:type="spellStart"/>
        <w:r w:rsidR="006B1B50" w:rsidRPr="006B1B50">
          <w:rPr>
            <w:rStyle w:val="Lienhypertexte"/>
          </w:rPr>
          <w:t>UnHerd</w:t>
        </w:r>
        <w:proofErr w:type="spellEnd"/>
      </w:hyperlink>
      <w:r w:rsidR="006B1B50">
        <w:t xml:space="preserve"> sa difficulté à trouver un éditeur</w:t>
      </w:r>
      <w:r w:rsidR="00755A21">
        <w:t>)</w:t>
      </w:r>
      <w:r w:rsidR="00C1572E">
        <w:t>.</w:t>
      </w:r>
    </w:p>
    <w:p w14:paraId="05CA1F58" w14:textId="77777777" w:rsidR="00C1572E" w:rsidRDefault="00C1572E" w:rsidP="00C1572E"/>
    <w:p w14:paraId="21E053FE" w14:textId="4BC9BA03" w:rsidR="006553AD" w:rsidRPr="000A05EB" w:rsidRDefault="00A8707A" w:rsidP="005B5315">
      <w:pPr>
        <w:pStyle w:val="Paragraphedeliste"/>
        <w:numPr>
          <w:ilvl w:val="0"/>
          <w:numId w:val="3"/>
        </w:numPr>
        <w:ind w:left="357" w:hanging="357"/>
      </w:pPr>
      <w:r>
        <w:rPr>
          <w:b/>
          <w:bCs/>
        </w:rPr>
        <w:t>Mise à l’arrêt</w:t>
      </w:r>
      <w:r w:rsidR="00AD5ABA" w:rsidRPr="00C1572E">
        <w:rPr>
          <w:b/>
          <w:bCs/>
        </w:rPr>
        <w:t xml:space="preserve">, par la </w:t>
      </w:r>
      <w:hyperlink r:id="rId15" w:tooltip="World Professional Association for Transgender Health (WPATH)" w:history="1">
        <w:r w:rsidR="00AD5ABA" w:rsidRPr="00B12D36">
          <w:rPr>
            <w:rStyle w:val="Lienhypertexte"/>
            <w:b/>
            <w:bCs/>
          </w:rPr>
          <w:t>WPATH</w:t>
        </w:r>
      </w:hyperlink>
      <w:r w:rsidR="00AD5ABA" w:rsidRPr="00C1572E">
        <w:rPr>
          <w:b/>
          <w:bCs/>
        </w:rPr>
        <w:t>,</w:t>
      </w:r>
      <w:r w:rsidR="008B3CA0" w:rsidRPr="00C1572E">
        <w:rPr>
          <w:b/>
          <w:bCs/>
        </w:rPr>
        <w:t xml:space="preserve"> du processus de publication</w:t>
      </w:r>
      <w:r w:rsidR="00755A21">
        <w:t xml:space="preserve"> de </w:t>
      </w:r>
      <w:r w:rsidR="001F49A5">
        <w:t xml:space="preserve">la plupart </w:t>
      </w:r>
      <w:r w:rsidR="001F49A5" w:rsidRPr="00CF7B88">
        <w:rPr>
          <w:b/>
          <w:bCs/>
        </w:rPr>
        <w:t xml:space="preserve">des </w:t>
      </w:r>
      <w:r w:rsidR="00755A21" w:rsidRPr="00CF7B88">
        <w:rPr>
          <w:b/>
          <w:bCs/>
        </w:rPr>
        <w:t>revues systématiques</w:t>
      </w:r>
      <w:r w:rsidR="00E74607" w:rsidRPr="00CF7B88">
        <w:rPr>
          <w:b/>
          <w:bCs/>
        </w:rPr>
        <w:t xml:space="preserve"> </w:t>
      </w:r>
      <w:r w:rsidRPr="00CF7B88">
        <w:rPr>
          <w:b/>
          <w:bCs/>
        </w:rPr>
        <w:t>des preuves</w:t>
      </w:r>
      <w:r>
        <w:t xml:space="preserve"> </w:t>
      </w:r>
      <w:r w:rsidR="001F49A5">
        <w:t xml:space="preserve">sur lesquelles </w:t>
      </w:r>
      <w:r w:rsidR="00E75DE2">
        <w:t>devaient</w:t>
      </w:r>
      <w:r w:rsidR="001F49A5">
        <w:t xml:space="preserve"> s’appuyer </w:t>
      </w:r>
      <w:r w:rsidR="00906A58">
        <w:t>s</w:t>
      </w:r>
      <w:r w:rsidR="001F49A5">
        <w:t>es 8</w:t>
      </w:r>
      <w:r w:rsidR="001F49A5" w:rsidRPr="00C1572E">
        <w:rPr>
          <w:vertAlign w:val="superscript"/>
        </w:rPr>
        <w:t>e</w:t>
      </w:r>
      <w:r w:rsidR="001F49A5">
        <w:t xml:space="preserve"> </w:t>
      </w:r>
      <w:r w:rsidR="001F49A5" w:rsidRPr="00C1572E">
        <w:rPr>
          <w:i/>
          <w:iCs/>
        </w:rPr>
        <w:t>Standards of Care</w:t>
      </w:r>
      <w:r w:rsidR="008B3CA0">
        <w:t xml:space="preserve">, </w:t>
      </w:r>
      <w:hyperlink r:id="rId16" w:tooltip="Standards of Care for the Health of Transgender and Gender Diverse People, Version 8" w:history="1">
        <w:r w:rsidR="008B3CA0" w:rsidRPr="008B3CA0">
          <w:rPr>
            <w:rStyle w:val="Lienhypertexte"/>
          </w:rPr>
          <w:t>2022</w:t>
        </w:r>
      </w:hyperlink>
      <w:r w:rsidR="00FF4782">
        <w:t xml:space="preserve">.  </w:t>
      </w:r>
      <w:r w:rsidR="00390053">
        <w:t>[</w:t>
      </w:r>
      <w:r w:rsidR="00FF4782" w:rsidRPr="000A05EB">
        <w:t>Au total, seules deux revues systématiques ont été publiées</w:t>
      </w:r>
      <w:r w:rsidR="005B5315" w:rsidRPr="000A05EB">
        <w:t xml:space="preserve">, pour </w:t>
      </w:r>
      <w:hyperlink r:id="rId17" w:tooltip="Liste des questions de recherche sur Prospero" w:history="1">
        <w:r w:rsidR="005B5315" w:rsidRPr="000A05EB">
          <w:rPr>
            <w:rStyle w:val="Lienhypertexte"/>
            <w:color w:val="auto"/>
          </w:rPr>
          <w:t>13 questions de recherche</w:t>
        </w:r>
      </w:hyperlink>
      <w:r w:rsidR="00390053">
        <w:t>]</w:t>
      </w:r>
      <w:r w:rsidR="00E74607" w:rsidRPr="000A05EB">
        <w:t xml:space="preserve"> (</w:t>
      </w:r>
      <w:r w:rsidR="00D40F2A" w:rsidRPr="000A05EB">
        <w:t xml:space="preserve">détails dans la </w:t>
      </w:r>
      <w:hyperlink w:anchor="_Standards_of_Care" w:history="1">
        <w:r w:rsidR="00E62314">
          <w:rPr>
            <w:rStyle w:val="Lienhypertexte"/>
            <w:color w:val="auto"/>
          </w:rPr>
          <w:t>section 4.2</w:t>
        </w:r>
      </w:hyperlink>
      <w:r w:rsidR="00D40F2A" w:rsidRPr="000A05EB">
        <w:t>, et dans l’</w:t>
      </w:r>
      <w:r w:rsidR="00A3267F" w:rsidRPr="000A05EB">
        <w:t xml:space="preserve">article de </w:t>
      </w:r>
      <w:hyperlink r:id="rId18" w:tooltip="Research into Trans Medicine Has Been Manipulated" w:history="1">
        <w:r w:rsidR="00071376" w:rsidRPr="000A05EB">
          <w:rPr>
            <w:rStyle w:val="Lienhypertexte"/>
            <w:i/>
            <w:iCs/>
            <w:color w:val="auto"/>
          </w:rPr>
          <w:t>The Economist</w:t>
        </w:r>
      </w:hyperlink>
      <w:r w:rsidR="00906A58" w:rsidRPr="000A05EB">
        <w:t>).</w:t>
      </w:r>
      <w:r w:rsidR="00FF4782" w:rsidRPr="000A05EB">
        <w:t xml:space="preserve"> </w:t>
      </w:r>
    </w:p>
    <w:p w14:paraId="6D827E49" w14:textId="77777777" w:rsidR="00DD7E91" w:rsidRDefault="00DD7E91" w:rsidP="00480B81">
      <w:pPr>
        <w:pStyle w:val="Paragraphedeliste"/>
      </w:pPr>
    </w:p>
    <w:p w14:paraId="3A710A78" w14:textId="1774CABE" w:rsidR="00153269" w:rsidRDefault="00E74607" w:rsidP="00DD7E91">
      <w:pPr>
        <w:pStyle w:val="Paragraphedeliste"/>
        <w:numPr>
          <w:ilvl w:val="0"/>
          <w:numId w:val="3"/>
        </w:numPr>
        <w:ind w:left="357" w:hanging="357"/>
      </w:pPr>
      <w:r>
        <w:rPr>
          <w:b/>
          <w:bCs/>
        </w:rPr>
        <w:t>C</w:t>
      </w:r>
      <w:r w:rsidR="00153269" w:rsidRPr="005136BD">
        <w:rPr>
          <w:b/>
          <w:bCs/>
        </w:rPr>
        <w:t xml:space="preserve">ensure des tentatives visant à corriger des affirmations </w:t>
      </w:r>
      <w:r w:rsidR="00153269" w:rsidRPr="00E75DE2">
        <w:t>non étayées, trompeuses ou erronées concernant les interventions médicales liées au genre</w:t>
      </w:r>
      <w:r w:rsidR="00153269" w:rsidRPr="00153269">
        <w:t>, c’est-à-dire</w:t>
      </w:r>
      <w:r w:rsidR="00E75DE2">
        <w:t xml:space="preserve"> : </w:t>
      </w:r>
      <w:r w:rsidR="00153269" w:rsidRPr="005136BD">
        <w:rPr>
          <w:b/>
          <w:bCs/>
        </w:rPr>
        <w:t>censure du débat scientifique</w:t>
      </w:r>
      <w:r w:rsidR="00A3267F">
        <w:rPr>
          <w:b/>
          <w:bCs/>
        </w:rPr>
        <w:t xml:space="preserve"> </w:t>
      </w:r>
      <w:r w:rsidR="00A3267F" w:rsidRPr="00A3267F">
        <w:t xml:space="preserve">(voir </w:t>
      </w:r>
      <w:hyperlink w:anchor="_2._Exemples_de" w:history="1">
        <w:r w:rsidR="00A3267F" w:rsidRPr="00C3193C">
          <w:rPr>
            <w:rStyle w:val="Lienhypertexte"/>
          </w:rPr>
          <w:t xml:space="preserve">section </w:t>
        </w:r>
        <w:r w:rsidR="00C3193C" w:rsidRPr="00C3193C">
          <w:rPr>
            <w:rStyle w:val="Lienhypertexte"/>
          </w:rPr>
          <w:t>2</w:t>
        </w:r>
      </w:hyperlink>
      <w:r w:rsidR="00A3267F" w:rsidRPr="00A3267F">
        <w:t>)</w:t>
      </w:r>
      <w:r w:rsidR="00153269" w:rsidRPr="00A3267F">
        <w:t>.</w:t>
      </w:r>
    </w:p>
    <w:p w14:paraId="4548638B" w14:textId="77777777" w:rsidR="00B12AC3" w:rsidRDefault="00B12AC3" w:rsidP="00153269"/>
    <w:p w14:paraId="08A9255B" w14:textId="63FD8A58" w:rsidR="006F409E" w:rsidRDefault="00F30C9C" w:rsidP="0056132B">
      <w:pPr>
        <w:pStyle w:val="Titre3"/>
      </w:pPr>
      <w:bookmarkStart w:id="5" w:name="_Toc217928611"/>
      <w:r>
        <w:t>1</w:t>
      </w:r>
      <w:r w:rsidR="007D110D">
        <w:t xml:space="preserve">.2. </w:t>
      </w:r>
      <w:r w:rsidR="006F409E" w:rsidRPr="00153269">
        <w:t>Affirmations non étayées, trompeuses ou erronées</w:t>
      </w:r>
      <w:bookmarkEnd w:id="5"/>
    </w:p>
    <w:p w14:paraId="6366DB6C" w14:textId="614BA9C5" w:rsidR="00E62838" w:rsidRPr="00E62838" w:rsidRDefault="00E62838" w:rsidP="00E62838">
      <w:r>
        <w:t>Cohn donne des exemples d’affirmations :</w:t>
      </w:r>
    </w:p>
    <w:p w14:paraId="07F0B391" w14:textId="77777777" w:rsidR="0062188F" w:rsidRDefault="0062188F" w:rsidP="000622DE">
      <w:pPr>
        <w:pStyle w:val="Titre4"/>
      </w:pPr>
      <w:r w:rsidRPr="0062188F">
        <w:t>Quelles revues médicales publient ces affirmations ?</w:t>
      </w:r>
    </w:p>
    <w:p w14:paraId="3C6CC21E" w14:textId="008BE6F5" w:rsidR="009F303A" w:rsidRDefault="00BE7A5F" w:rsidP="00C36F3D">
      <w:pPr>
        <w:pStyle w:val="Paragraphedeliste"/>
        <w:numPr>
          <w:ilvl w:val="0"/>
          <w:numId w:val="3"/>
        </w:numPr>
        <w:ind w:left="357" w:hanging="357"/>
      </w:pPr>
      <w:r w:rsidRPr="00483294">
        <w:rPr>
          <w:b/>
          <w:bCs/>
          <w:i/>
          <w:iCs/>
          <w:lang w:val="en-US"/>
        </w:rPr>
        <w:t>JAMA</w:t>
      </w:r>
      <w:r w:rsidR="00592197" w:rsidRPr="00483294">
        <w:rPr>
          <w:b/>
          <w:bCs/>
          <w:i/>
          <w:iCs/>
          <w:lang w:val="en-US"/>
        </w:rPr>
        <w:t xml:space="preserve"> (Journal of the American Medical Association)</w:t>
      </w:r>
      <w:r w:rsidR="00D41E36" w:rsidRPr="00483294">
        <w:rPr>
          <w:lang w:val="en-US"/>
        </w:rPr>
        <w:t xml:space="preserve">. </w:t>
      </w:r>
      <w:r w:rsidR="00D41E36">
        <w:t>E</w:t>
      </w:r>
      <w:r w:rsidR="009F303A">
        <w:t xml:space="preserve">xemples : </w:t>
      </w:r>
      <w:proofErr w:type="spellStart"/>
      <w:r w:rsidR="005C2AF9" w:rsidRPr="00BE7A5F">
        <w:t>Barbee</w:t>
      </w:r>
      <w:proofErr w:type="spellEnd"/>
      <w:r w:rsidR="005C2AF9" w:rsidRPr="00BE7A5F">
        <w:t xml:space="preserve"> et al., </w:t>
      </w:r>
      <w:hyperlink r:id="rId19" w:tooltip="Anti-transgender legislation – A public health concern for transgender youth" w:history="1">
        <w:r w:rsidR="005C2AF9">
          <w:rPr>
            <w:rStyle w:val="Lienhypertexte"/>
          </w:rPr>
          <w:t>2022</w:t>
        </w:r>
      </w:hyperlink>
      <w:r w:rsidR="005C2AF9">
        <w:t xml:space="preserve"> ; </w:t>
      </w:r>
      <w:proofErr w:type="spellStart"/>
      <w:r w:rsidRPr="00BE7A5F">
        <w:t>Barbee</w:t>
      </w:r>
      <w:proofErr w:type="spellEnd"/>
      <w:r w:rsidRPr="00BE7A5F">
        <w:t xml:space="preserve"> et al., </w:t>
      </w:r>
      <w:hyperlink r:id="rId20" w:tooltip="Postoperative regret among transgender and gender-diverse recipients of gender-affirming surgery" w:history="1">
        <w:r w:rsidRPr="009F303A">
          <w:rPr>
            <w:rStyle w:val="Lienhypertexte"/>
          </w:rPr>
          <w:t>2024</w:t>
        </w:r>
      </w:hyperlink>
      <w:r w:rsidRPr="00BE7A5F">
        <w:t xml:space="preserve"> ; </w:t>
      </w:r>
      <w:proofErr w:type="spellStart"/>
      <w:r w:rsidRPr="00BE7A5F">
        <w:t>Lepore</w:t>
      </w:r>
      <w:proofErr w:type="spellEnd"/>
      <w:r w:rsidRPr="00BE7A5F">
        <w:t xml:space="preserve"> et al., </w:t>
      </w:r>
      <w:hyperlink r:id="rId21" w:tooltip="Scientific misinformation is criminalizing the standard of care for transgender youth" w:history="1">
        <w:r w:rsidRPr="009F303A">
          <w:rPr>
            <w:rStyle w:val="Lienhypertexte"/>
          </w:rPr>
          <w:t>2022</w:t>
        </w:r>
      </w:hyperlink>
      <w:r w:rsidRPr="00BE7A5F">
        <w:t xml:space="preserve"> ; </w:t>
      </w:r>
      <w:proofErr w:type="spellStart"/>
      <w:r w:rsidRPr="00BE7A5F">
        <w:t>Tordoff</w:t>
      </w:r>
      <w:proofErr w:type="spellEnd"/>
      <w:r w:rsidRPr="00BE7A5F">
        <w:t xml:space="preserve"> et al., </w:t>
      </w:r>
      <w:hyperlink r:id="rId22" w:tooltip="Mental health outcomes in transgender and nonbinary youths receiving gender-affirming care" w:history="1">
        <w:r w:rsidRPr="009F303A">
          <w:rPr>
            <w:rStyle w:val="Lienhypertexte"/>
          </w:rPr>
          <w:t>2022</w:t>
        </w:r>
      </w:hyperlink>
      <w:r w:rsidRPr="00BE7A5F">
        <w:t xml:space="preserve">, </w:t>
      </w:r>
      <w:proofErr w:type="spellStart"/>
      <w:r w:rsidR="00D41E36" w:rsidRPr="00D41E36">
        <w:t>Marano</w:t>
      </w:r>
      <w:proofErr w:type="spellEnd"/>
      <w:r w:rsidR="00D41E36" w:rsidRPr="00D41E36">
        <w:t xml:space="preserve"> et al., </w:t>
      </w:r>
      <w:hyperlink r:id="rId23" w:tooltip="Gender-affirming surgeries and improved psychosocial health outcomes" w:history="1">
        <w:r w:rsidR="00D41E36" w:rsidRPr="004C727A">
          <w:rPr>
            <w:rStyle w:val="Lienhypertexte"/>
          </w:rPr>
          <w:t>2021</w:t>
        </w:r>
      </w:hyperlink>
      <w:r w:rsidR="004C0614">
        <w:t> ;</w:t>
      </w:r>
      <w:r w:rsidR="00D41E36">
        <w:t xml:space="preserve"> </w:t>
      </w:r>
      <w:r w:rsidR="00D41E36" w:rsidRPr="00D41E36">
        <w:t xml:space="preserve">Wu &amp; </w:t>
      </w:r>
      <w:proofErr w:type="spellStart"/>
      <w:r w:rsidR="00D41E36" w:rsidRPr="00D41E36">
        <w:t>Keuroghlian</w:t>
      </w:r>
      <w:proofErr w:type="spellEnd"/>
      <w:r w:rsidR="00D41E36" w:rsidRPr="00D41E36">
        <w:t>, 2023</w:t>
      </w:r>
      <w:r w:rsidR="004C0614">
        <w:t xml:space="preserve"> ; Turban et al., </w:t>
      </w:r>
      <w:hyperlink r:id="rId24" w:tooltip="Understanding and supporting patients with dynamic desires for gender-affirming medical interventions" w:history="1">
        <w:r w:rsidR="004C0614" w:rsidRPr="00307C05">
          <w:rPr>
            <w:rStyle w:val="Lienhypertexte"/>
          </w:rPr>
          <w:t>2022</w:t>
        </w:r>
      </w:hyperlink>
      <w:r w:rsidR="004C0614">
        <w:t xml:space="preserve"> ; </w:t>
      </w:r>
      <w:proofErr w:type="spellStart"/>
      <w:r w:rsidR="004C0614" w:rsidRPr="004C0614">
        <w:t>Stranix</w:t>
      </w:r>
      <w:proofErr w:type="spellEnd"/>
      <w:r w:rsidR="004C0614" w:rsidRPr="004C0614">
        <w:t xml:space="preserve"> &amp; </w:t>
      </w:r>
      <w:proofErr w:type="spellStart"/>
      <w:r w:rsidR="004C0614" w:rsidRPr="004C0614">
        <w:t>Bluebond-Langner</w:t>
      </w:r>
      <w:proofErr w:type="spellEnd"/>
      <w:r w:rsidR="004C0614" w:rsidRPr="004C0614">
        <w:t xml:space="preserve">, </w:t>
      </w:r>
      <w:hyperlink r:id="rId25" w:tooltip="Improving access to genital gender-affirming surgery – The need for comprehensive gender health centers of excellence" w:history="1">
        <w:r w:rsidR="004C0614" w:rsidRPr="00612ED4">
          <w:rPr>
            <w:rStyle w:val="Lienhypertexte"/>
          </w:rPr>
          <w:t>2022</w:t>
        </w:r>
      </w:hyperlink>
      <w:r w:rsidR="004C0614">
        <w:t> ;</w:t>
      </w:r>
      <w:r w:rsidR="003038A6">
        <w:t xml:space="preserve"> </w:t>
      </w:r>
      <w:r w:rsidR="003038A6" w:rsidRPr="003038A6">
        <w:t xml:space="preserve">Downing et al., </w:t>
      </w:r>
      <w:hyperlink r:id="rId26" w:tooltip="Spending and out-of-pocket costs for genital gender-affirming surgery in the US" w:history="1">
        <w:r w:rsidR="003038A6" w:rsidRPr="0062398C">
          <w:rPr>
            <w:rStyle w:val="Lienhypertexte"/>
          </w:rPr>
          <w:t>2022</w:t>
        </w:r>
      </w:hyperlink>
      <w:r w:rsidR="003038A6">
        <w:t xml:space="preserve"> ; </w:t>
      </w:r>
      <w:r w:rsidR="003038A6" w:rsidRPr="003038A6">
        <w:t xml:space="preserve">Peters, </w:t>
      </w:r>
      <w:hyperlink r:id="rId27" w:tooltip="Targeted nipple-areola complex reinnervation for sensory restoration in gender-affirming mastectomy." w:history="1">
        <w:r w:rsidR="003038A6" w:rsidRPr="00606934">
          <w:rPr>
            <w:rStyle w:val="Lienhypertexte"/>
          </w:rPr>
          <w:t>2024</w:t>
        </w:r>
      </w:hyperlink>
      <w:r w:rsidR="003038A6">
        <w:t>.</w:t>
      </w:r>
    </w:p>
    <w:p w14:paraId="7BF3E78C" w14:textId="4337487D" w:rsidR="009F303A" w:rsidRPr="00E73429" w:rsidRDefault="00BE7A5F" w:rsidP="00C36F3D">
      <w:pPr>
        <w:pStyle w:val="Paragraphedeliste"/>
        <w:numPr>
          <w:ilvl w:val="0"/>
          <w:numId w:val="3"/>
        </w:numPr>
        <w:ind w:left="357" w:hanging="357"/>
      </w:pPr>
      <w:r w:rsidRPr="00D41E36">
        <w:rPr>
          <w:b/>
          <w:bCs/>
          <w:i/>
          <w:iCs/>
          <w:lang w:val="en-US"/>
        </w:rPr>
        <w:t>New England Journal of Medicine</w:t>
      </w:r>
      <w:r w:rsidRPr="00D41E36">
        <w:rPr>
          <w:b/>
          <w:bCs/>
          <w:lang w:val="en-US"/>
        </w:rPr>
        <w:t xml:space="preserve"> (</w:t>
      </w:r>
      <w:r w:rsidRPr="00632BE9">
        <w:rPr>
          <w:b/>
          <w:bCs/>
          <w:i/>
          <w:iCs/>
          <w:lang w:val="en-US"/>
        </w:rPr>
        <w:t>NEJM</w:t>
      </w:r>
      <w:r w:rsidRPr="00D41E36">
        <w:rPr>
          <w:b/>
          <w:bCs/>
          <w:lang w:val="en-US"/>
        </w:rPr>
        <w:t>)</w:t>
      </w:r>
      <w:r w:rsidR="00D41E36" w:rsidRPr="00D41E36">
        <w:rPr>
          <w:lang w:val="en-US"/>
        </w:rPr>
        <w:t xml:space="preserve">. </w:t>
      </w:r>
      <w:r w:rsidR="00D41E36" w:rsidRPr="00D41E36">
        <w:t>Ex</w:t>
      </w:r>
      <w:r w:rsidR="00D41E36">
        <w:t xml:space="preserve">emples : </w:t>
      </w:r>
      <w:r w:rsidRPr="00E73429">
        <w:t xml:space="preserve">McNamara et al., </w:t>
      </w:r>
      <w:hyperlink r:id="rId28" w:tooltip="Protecting transgender health and challenging science denialism in policy" w:history="1">
        <w:r w:rsidRPr="00E73429">
          <w:rPr>
            <w:rStyle w:val="Lienhypertexte"/>
          </w:rPr>
          <w:t>2022</w:t>
        </w:r>
      </w:hyperlink>
      <w:r w:rsidRPr="00E73429">
        <w:t>),</w:t>
      </w:r>
      <w:r w:rsidR="00E73429" w:rsidRPr="00E73429">
        <w:t xml:space="preserve"> Coelho et al., </w:t>
      </w:r>
      <w:hyperlink r:id="rId29" w:tooltip="Advancing transgender health amid rising policy threats." w:history="1">
        <w:r w:rsidR="00E73429" w:rsidRPr="00495BC5">
          <w:rPr>
            <w:rStyle w:val="Lienhypertexte"/>
          </w:rPr>
          <w:t>2025</w:t>
        </w:r>
      </w:hyperlink>
      <w:r w:rsidR="00E73429" w:rsidRPr="00E73429">
        <w:t>, Guerra et al.,</w:t>
      </w:r>
      <w:hyperlink r:id="rId30" w:tooltip="Facing political attacks on medical education – the future of diversity, equity, and inclusion in medicine" w:history="1">
        <w:r w:rsidR="00E73429" w:rsidRPr="00D77230">
          <w:rPr>
            <w:rStyle w:val="Lienhypertexte"/>
          </w:rPr>
          <w:t xml:space="preserve"> 2025</w:t>
        </w:r>
      </w:hyperlink>
      <w:r w:rsidR="005A68FA">
        <w:t xml:space="preserve">, </w:t>
      </w:r>
      <w:r w:rsidR="005A68FA" w:rsidRPr="005A68FA">
        <w:t xml:space="preserve">Murphy et al., </w:t>
      </w:r>
      <w:hyperlink r:id="rId31" w:tooltip="Gender-affirming surgical care in carceral settings" w:history="1">
        <w:r w:rsidR="005A68FA" w:rsidRPr="00D77230">
          <w:rPr>
            <w:rStyle w:val="Lienhypertexte"/>
          </w:rPr>
          <w:t>2025</w:t>
        </w:r>
      </w:hyperlink>
      <w:r w:rsidR="005A68FA">
        <w:t xml:space="preserve">, </w:t>
      </w:r>
      <w:r w:rsidR="005A68FA" w:rsidRPr="005A68FA">
        <w:t xml:space="preserve">Ulrich, </w:t>
      </w:r>
      <w:hyperlink r:id="rId32" w:tooltip="Practicing medicine in the culture wars-gender-affirming care and the battles over clinician autonomy" w:history="1">
        <w:r w:rsidR="005A68FA" w:rsidRPr="00917FBC">
          <w:rPr>
            <w:rStyle w:val="Lienhypertexte"/>
          </w:rPr>
          <w:t>2024</w:t>
        </w:r>
      </w:hyperlink>
      <w:r w:rsidR="00E81B3B">
        <w:t>.</w:t>
      </w:r>
    </w:p>
    <w:p w14:paraId="3E55E9E7" w14:textId="5A24C2A2" w:rsidR="009F303A" w:rsidRDefault="00BE7A5F" w:rsidP="00C36F3D">
      <w:pPr>
        <w:pStyle w:val="Paragraphedeliste"/>
        <w:numPr>
          <w:ilvl w:val="0"/>
          <w:numId w:val="3"/>
        </w:numPr>
        <w:ind w:left="357" w:hanging="357"/>
      </w:pPr>
      <w:proofErr w:type="spellStart"/>
      <w:r w:rsidRPr="0062188F">
        <w:rPr>
          <w:b/>
          <w:bCs/>
          <w:i/>
          <w:iCs/>
        </w:rPr>
        <w:t>Pediatrics</w:t>
      </w:r>
      <w:proofErr w:type="spellEnd"/>
      <w:r w:rsidR="00E81B3B">
        <w:rPr>
          <w:i/>
          <w:iCs/>
        </w:rPr>
        <w:t xml:space="preserve">. </w:t>
      </w:r>
      <w:r w:rsidR="00E81B3B" w:rsidRPr="00E81B3B">
        <w:t>Exemples </w:t>
      </w:r>
      <w:r w:rsidR="00E81B3B">
        <w:rPr>
          <w:i/>
          <w:iCs/>
        </w:rPr>
        <w:t xml:space="preserve">: </w:t>
      </w:r>
      <w:r w:rsidRPr="00BE7A5F">
        <w:t xml:space="preserve">Georges et al., </w:t>
      </w:r>
      <w:hyperlink r:id="rId33" w:tooltip="Prohibition of gender-affirming care as a form of child maltreatment: Reframing the discussion" w:history="1">
        <w:r w:rsidRPr="009F303A">
          <w:rPr>
            <w:rStyle w:val="Lienhypertexte"/>
          </w:rPr>
          <w:t>2024</w:t>
        </w:r>
      </w:hyperlink>
      <w:r w:rsidRPr="00BE7A5F">
        <w:t xml:space="preserve"> ; Turban et al., </w:t>
      </w:r>
      <w:hyperlink r:id="rId34" w:tooltip="Pubertal suppression for transgender youth and risk of suicidal ideation." w:history="1">
        <w:r w:rsidRPr="009F303A">
          <w:rPr>
            <w:rStyle w:val="Lienhypertexte"/>
          </w:rPr>
          <w:t>2020b</w:t>
        </w:r>
      </w:hyperlink>
      <w:r w:rsidR="00E81B3B">
        <w:t>.</w:t>
      </w:r>
    </w:p>
    <w:p w14:paraId="3BF2B701" w14:textId="2FFEE64A" w:rsidR="009F303A" w:rsidRPr="00E81B3B" w:rsidRDefault="00BE7A5F" w:rsidP="00C3193C">
      <w:pPr>
        <w:pStyle w:val="Paragraphedeliste"/>
        <w:numPr>
          <w:ilvl w:val="0"/>
          <w:numId w:val="3"/>
        </w:numPr>
        <w:ind w:left="357" w:hanging="357"/>
      </w:pPr>
      <w:r w:rsidRPr="0062188F">
        <w:rPr>
          <w:b/>
          <w:bCs/>
          <w:i/>
          <w:iCs/>
          <w:lang w:val="en-US"/>
        </w:rPr>
        <w:t>Journal of Adolescent Health</w:t>
      </w:r>
      <w:r w:rsidR="00E81B3B">
        <w:rPr>
          <w:lang w:val="en-US"/>
        </w:rPr>
        <w:t xml:space="preserve">. </w:t>
      </w:r>
      <w:r w:rsidR="00E81B3B" w:rsidRPr="00E81B3B">
        <w:t>Exem</w:t>
      </w:r>
      <w:r w:rsidR="00E81B3B">
        <w:t xml:space="preserve">ples : </w:t>
      </w:r>
      <w:proofErr w:type="spellStart"/>
      <w:r w:rsidRPr="00E81B3B">
        <w:t>Budge</w:t>
      </w:r>
      <w:proofErr w:type="spellEnd"/>
      <w:r w:rsidRPr="00E81B3B">
        <w:t xml:space="preserve"> et al.,</w:t>
      </w:r>
      <w:hyperlink r:id="rId35" w:tooltip="Gender affirming care is evidence based for transgender and gender-diverse youth" w:history="1">
        <w:r w:rsidRPr="00E81B3B">
          <w:rPr>
            <w:rStyle w:val="Lienhypertexte"/>
          </w:rPr>
          <w:t xml:space="preserve"> 2024</w:t>
        </w:r>
      </w:hyperlink>
      <w:r w:rsidRPr="00E81B3B">
        <w:t xml:space="preserve"> ; Hughes et al., </w:t>
      </w:r>
      <w:hyperlink r:id="rId36" w:tooltip="These laws will be devastating" w:history="1">
        <w:r w:rsidRPr="00E81B3B">
          <w:rPr>
            <w:rStyle w:val="Lienhypertexte"/>
          </w:rPr>
          <w:t>2021</w:t>
        </w:r>
      </w:hyperlink>
      <w:r w:rsidRPr="00E81B3B">
        <w:t xml:space="preserve"> ; Kidd &amp; </w:t>
      </w:r>
      <w:proofErr w:type="spellStart"/>
      <w:r w:rsidRPr="00E81B3B">
        <w:t>Sequeira</w:t>
      </w:r>
      <w:proofErr w:type="spellEnd"/>
      <w:r w:rsidRPr="00E81B3B">
        <w:t xml:space="preserve">, </w:t>
      </w:r>
      <w:hyperlink r:id="rId37" w:tooltip="Misinformation related to discontinuation and regret among adolescents receiving gender-affirming care" w:history="1">
        <w:r w:rsidRPr="00E81B3B">
          <w:rPr>
            <w:rStyle w:val="Lienhypertexte"/>
          </w:rPr>
          <w:t>2024</w:t>
        </w:r>
      </w:hyperlink>
      <w:r w:rsidR="00E81B3B" w:rsidRPr="00E81B3B">
        <w:t>.</w:t>
      </w:r>
    </w:p>
    <w:p w14:paraId="41940CBD" w14:textId="74CAA2F3" w:rsidR="009F303A" w:rsidRPr="0062188F" w:rsidRDefault="00BE7A5F" w:rsidP="00C36F3D">
      <w:pPr>
        <w:pStyle w:val="Paragraphedeliste"/>
        <w:numPr>
          <w:ilvl w:val="0"/>
          <w:numId w:val="3"/>
        </w:numPr>
        <w:ind w:left="357" w:hanging="357"/>
        <w:rPr>
          <w:lang w:val="en-US"/>
        </w:rPr>
      </w:pPr>
      <w:r w:rsidRPr="0062188F">
        <w:rPr>
          <w:b/>
          <w:bCs/>
          <w:i/>
          <w:iCs/>
          <w:lang w:val="en-US"/>
        </w:rPr>
        <w:lastRenderedPageBreak/>
        <w:t>Annual Review of Medicine</w:t>
      </w:r>
      <w:r w:rsidR="00E81B3B">
        <w:rPr>
          <w:lang w:val="en-US"/>
        </w:rPr>
        <w:t xml:space="preserve">. </w:t>
      </w:r>
      <w:proofErr w:type="spellStart"/>
      <w:r w:rsidR="00E81B3B">
        <w:rPr>
          <w:lang w:val="en-US"/>
        </w:rPr>
        <w:t>Exemple</w:t>
      </w:r>
      <w:proofErr w:type="spellEnd"/>
      <w:r w:rsidR="00E81B3B">
        <w:rPr>
          <w:lang w:val="en-US"/>
        </w:rPr>
        <w:t xml:space="preserve"> : </w:t>
      </w:r>
      <w:r w:rsidRPr="0062188F">
        <w:rPr>
          <w:lang w:val="en-US"/>
        </w:rPr>
        <w:t xml:space="preserve">Lee &amp; Rosenthal, </w:t>
      </w:r>
      <w:hyperlink r:id="rId38" w:tooltip="Gender-affirming care of transgender and gender-diverse youth Current concepts" w:history="1">
        <w:r w:rsidRPr="0062188F">
          <w:rPr>
            <w:rStyle w:val="Lienhypertexte"/>
            <w:lang w:val="en-US"/>
          </w:rPr>
          <w:t>2023</w:t>
        </w:r>
      </w:hyperlink>
      <w:r w:rsidR="00E81B3B">
        <w:rPr>
          <w:lang w:val="en-US"/>
        </w:rPr>
        <w:t>.</w:t>
      </w:r>
    </w:p>
    <w:p w14:paraId="51D09E07" w14:textId="272CB148" w:rsidR="009F303A" w:rsidRPr="0062188F" w:rsidRDefault="00BE7A5F" w:rsidP="00C36F3D">
      <w:pPr>
        <w:pStyle w:val="Paragraphedeliste"/>
        <w:numPr>
          <w:ilvl w:val="0"/>
          <w:numId w:val="3"/>
        </w:numPr>
        <w:ind w:left="357" w:hanging="357"/>
        <w:rPr>
          <w:lang w:val="en-US"/>
        </w:rPr>
      </w:pPr>
      <w:r w:rsidRPr="0062188F">
        <w:rPr>
          <w:b/>
          <w:bCs/>
          <w:i/>
          <w:iCs/>
          <w:lang w:val="en-US"/>
        </w:rPr>
        <w:t>Nature Reviews Endocrinology</w:t>
      </w:r>
      <w:r w:rsidR="00E81B3B">
        <w:rPr>
          <w:lang w:val="en-US"/>
        </w:rPr>
        <w:t xml:space="preserve">. </w:t>
      </w:r>
      <w:proofErr w:type="spellStart"/>
      <w:r w:rsidR="00E81B3B">
        <w:rPr>
          <w:lang w:val="en-US"/>
        </w:rPr>
        <w:t>Exemples</w:t>
      </w:r>
      <w:proofErr w:type="spellEnd"/>
      <w:r w:rsidR="00E81B3B">
        <w:rPr>
          <w:lang w:val="en-US"/>
        </w:rPr>
        <w:t xml:space="preserve"> : </w:t>
      </w:r>
      <w:r w:rsidRPr="0062188F">
        <w:rPr>
          <w:lang w:val="en-US"/>
        </w:rPr>
        <w:t xml:space="preserve">Lopez &amp; Kuper, </w:t>
      </w:r>
      <w:hyperlink r:id="rId39" w:tooltip="Large study on hormone therapy for transgender youth provides reassurance amid treatment politicization" w:history="1">
        <w:r w:rsidRPr="0062188F">
          <w:rPr>
            <w:rStyle w:val="Lienhypertexte"/>
            <w:lang w:val="en-US"/>
          </w:rPr>
          <w:t>2023</w:t>
        </w:r>
      </w:hyperlink>
      <w:r w:rsidRPr="0062188F">
        <w:rPr>
          <w:lang w:val="en-US"/>
        </w:rPr>
        <w:t xml:space="preserve"> ; Rosenthal, </w:t>
      </w:r>
      <w:hyperlink r:id="rId40" w:tooltip="Challenges in the care of transgender and gender-diverse youth: An endocrinologist’s view" w:history="1">
        <w:r w:rsidRPr="0062188F">
          <w:rPr>
            <w:rStyle w:val="Lienhypertexte"/>
            <w:lang w:val="en-US"/>
          </w:rPr>
          <w:t>2021</w:t>
        </w:r>
      </w:hyperlink>
      <w:r w:rsidR="00E81B3B">
        <w:rPr>
          <w:lang w:val="en-US"/>
        </w:rPr>
        <w:t>.</w:t>
      </w:r>
      <w:r w:rsidRPr="0062188F">
        <w:rPr>
          <w:lang w:val="en-US"/>
        </w:rPr>
        <w:t xml:space="preserve"> </w:t>
      </w:r>
    </w:p>
    <w:p w14:paraId="02300BE4" w14:textId="77777777" w:rsidR="009F303A" w:rsidRPr="00616DC3" w:rsidRDefault="009F303A" w:rsidP="009F303A">
      <w:pPr>
        <w:ind w:left="708"/>
        <w:rPr>
          <w:lang w:val="en-US"/>
        </w:rPr>
      </w:pPr>
    </w:p>
    <w:p w14:paraId="5674994B" w14:textId="4D0D576D" w:rsidR="009F303A" w:rsidRPr="000622DE" w:rsidRDefault="009F303A" w:rsidP="000622DE">
      <w:pPr>
        <w:pStyle w:val="Titre4"/>
      </w:pPr>
      <w:bookmarkStart w:id="6" w:name="_Contenu_général_des"/>
      <w:bookmarkEnd w:id="6"/>
      <w:r w:rsidRPr="000622DE">
        <w:t>Contenu général des affirmations</w:t>
      </w:r>
    </w:p>
    <w:p w14:paraId="48105675" w14:textId="016A51B6" w:rsidR="001637D7" w:rsidRDefault="009F303A" w:rsidP="00DB6743">
      <w:pPr>
        <w:pStyle w:val="Paragraphedeliste"/>
        <w:numPr>
          <w:ilvl w:val="0"/>
          <w:numId w:val="18"/>
        </w:numPr>
        <w:ind w:left="357" w:hanging="357"/>
      </w:pPr>
      <w:r w:rsidRPr="006F27BC">
        <w:rPr>
          <w:b/>
          <w:bCs/>
        </w:rPr>
        <w:t>E</w:t>
      </w:r>
      <w:r w:rsidR="00BE7A5F" w:rsidRPr="006F27BC">
        <w:rPr>
          <w:b/>
          <w:bCs/>
        </w:rPr>
        <w:t>xagér</w:t>
      </w:r>
      <w:r w:rsidR="004B679D">
        <w:rPr>
          <w:b/>
          <w:bCs/>
        </w:rPr>
        <w:t>ation du</w:t>
      </w:r>
      <w:r w:rsidR="00BE7A5F" w:rsidRPr="006F27BC">
        <w:rPr>
          <w:b/>
          <w:bCs/>
        </w:rPr>
        <w:t xml:space="preserve"> degré de certitude des preuves</w:t>
      </w:r>
    </w:p>
    <w:p w14:paraId="525A29B4" w14:textId="48908427" w:rsidR="00BE7A5F" w:rsidRDefault="001637D7" w:rsidP="001637D7">
      <w:pPr>
        <w:pStyle w:val="Paragraphedeliste"/>
        <w:ind w:left="357"/>
      </w:pPr>
      <w:r>
        <w:t>P</w:t>
      </w:r>
      <w:r w:rsidR="00BE7A5F" w:rsidRPr="00BE7A5F">
        <w:t xml:space="preserve">ar exemple lorsqu’il est déclaré, en dépit du niveau de certitude faible ou très faible, que ces interventions sont </w:t>
      </w:r>
      <w:r w:rsidR="00BE7A5F" w:rsidRPr="006F27BC">
        <w:rPr>
          <w:b/>
          <w:bCs/>
        </w:rPr>
        <w:t>connues pour être probablement bénéfiques</w:t>
      </w:r>
      <w:r w:rsidR="00BE7A5F" w:rsidRPr="00BE7A5F">
        <w:t xml:space="preserve"> ou même </w:t>
      </w:r>
      <w:r w:rsidR="00BE7A5F" w:rsidRPr="006F27BC">
        <w:rPr>
          <w:b/>
          <w:bCs/>
        </w:rPr>
        <w:t>« salvatrices »</w:t>
      </w:r>
      <w:r w:rsidR="00BE7A5F" w:rsidRPr="00BE7A5F">
        <w:t xml:space="preserve">. Cette dernière formulation comporte un risque de </w:t>
      </w:r>
      <w:r w:rsidR="00BE7A5F" w:rsidRPr="006F27BC">
        <w:rPr>
          <w:b/>
          <w:bCs/>
        </w:rPr>
        <w:t>nocebo</w:t>
      </w:r>
      <w:r w:rsidR="00BE7A5F" w:rsidRPr="00BE7A5F">
        <w:t xml:space="preserve"> (Appleby, </w:t>
      </w:r>
      <w:hyperlink r:id="rId41" w:tooltip="Review of suicides and gender dysphoria at the Tavistock clinic" w:history="1">
        <w:r w:rsidR="00BE7A5F" w:rsidRPr="009F303A">
          <w:rPr>
            <w:rStyle w:val="Lienhypertexte"/>
          </w:rPr>
          <w:t>2024</w:t>
        </w:r>
      </w:hyperlink>
      <w:r w:rsidR="009F303A">
        <w:t xml:space="preserve"> </w:t>
      </w:r>
      <w:r w:rsidR="00BE7A5F" w:rsidRPr="00BE7A5F">
        <w:t xml:space="preserve"> ; Clayton, </w:t>
      </w:r>
      <w:hyperlink r:id="rId42" w:tooltip="GAC: A perfect storm environment for the placebo effect" w:history="1">
        <w:r w:rsidR="00BE7A5F" w:rsidRPr="009F303A">
          <w:rPr>
            <w:rStyle w:val="Lienhypertexte"/>
          </w:rPr>
          <w:t>2023</w:t>
        </w:r>
      </w:hyperlink>
      <w:r w:rsidR="00BE7A5F" w:rsidRPr="00BE7A5F">
        <w:t xml:space="preserve">), car elle suggère que ne pas recevoir ces interventions serait potentiellement mortel, alors que </w:t>
      </w:r>
      <w:r w:rsidR="00BE7A5F" w:rsidRPr="006F27BC">
        <w:rPr>
          <w:b/>
          <w:bCs/>
        </w:rPr>
        <w:t>le suicide est un phénomène socialement contagieux</w:t>
      </w:r>
      <w:r w:rsidR="00BE7A5F" w:rsidRPr="00BE7A5F">
        <w:t>.</w:t>
      </w:r>
    </w:p>
    <w:p w14:paraId="371CD038" w14:textId="77777777" w:rsidR="009F303A" w:rsidRPr="00BE7A5F" w:rsidRDefault="009F303A" w:rsidP="009F303A">
      <w:pPr>
        <w:ind w:left="708"/>
      </w:pPr>
    </w:p>
    <w:p w14:paraId="463B6EAC" w14:textId="426667FA" w:rsidR="001637D7" w:rsidRDefault="009F303A" w:rsidP="00DB6743">
      <w:pPr>
        <w:pStyle w:val="Paragraphedeliste"/>
        <w:numPr>
          <w:ilvl w:val="0"/>
          <w:numId w:val="18"/>
        </w:numPr>
        <w:ind w:left="357" w:hanging="357"/>
      </w:pPr>
      <w:r w:rsidRPr="00EA052B">
        <w:rPr>
          <w:b/>
          <w:bCs/>
        </w:rPr>
        <w:t>A</w:t>
      </w:r>
      <w:r w:rsidR="00BE7A5F" w:rsidRPr="006F27BC">
        <w:rPr>
          <w:b/>
          <w:bCs/>
        </w:rPr>
        <w:t>ffirm</w:t>
      </w:r>
      <w:r w:rsidR="004B679D">
        <w:rPr>
          <w:b/>
          <w:bCs/>
        </w:rPr>
        <w:t>ation d’</w:t>
      </w:r>
      <w:r w:rsidR="00BE7A5F" w:rsidRPr="006F27BC">
        <w:rPr>
          <w:b/>
          <w:bCs/>
        </w:rPr>
        <w:t>un bénéfice établi</w:t>
      </w:r>
      <w:r w:rsidR="00BE7A5F" w:rsidRPr="00BE7A5F">
        <w:t xml:space="preserve"> pour soutenir que </w:t>
      </w:r>
      <w:r w:rsidR="00BE7A5F" w:rsidRPr="006F27BC">
        <w:rPr>
          <w:b/>
          <w:bCs/>
        </w:rPr>
        <w:t>les essais randomisés seraient contraires à l’éthique</w:t>
      </w:r>
      <w:r w:rsidR="004B679D">
        <w:rPr>
          <w:b/>
          <w:bCs/>
        </w:rPr>
        <w:t>.</w:t>
      </w:r>
    </w:p>
    <w:p w14:paraId="67FEC1D1" w14:textId="12937F2C" w:rsidR="00BE7A5F" w:rsidRDefault="001637D7" w:rsidP="001637D7">
      <w:pPr>
        <w:pStyle w:val="Paragraphedeliste"/>
        <w:ind w:left="357"/>
      </w:pPr>
      <w:r>
        <w:t>C</w:t>
      </w:r>
      <w:r w:rsidR="00BE7A5F" w:rsidRPr="00BE7A5F">
        <w:t xml:space="preserve">e qui n’est pas fondé. Une autre affirmation erronée (Balshem et al., </w:t>
      </w:r>
      <w:hyperlink r:id="rId43" w:tooltip="GRADE guidelines, rating the quality of evidence" w:history="1">
        <w:r w:rsidR="00BE7A5F" w:rsidRPr="009F303A">
          <w:rPr>
            <w:rStyle w:val="Lienhypertexte"/>
          </w:rPr>
          <w:t>2011</w:t>
        </w:r>
      </w:hyperlink>
      <w:r w:rsidR="00BE7A5F" w:rsidRPr="00BE7A5F">
        <w:t xml:space="preserve">) consiste à prétendre ou laisser entendre que </w:t>
      </w:r>
      <w:r w:rsidR="00BE7A5F" w:rsidRPr="006F27BC">
        <w:rPr>
          <w:b/>
          <w:bCs/>
        </w:rPr>
        <w:t>seuls les essais randomisés pourraient améliorer la base de preuves</w:t>
      </w:r>
      <w:r w:rsidR="00BE7A5F" w:rsidRPr="00BE7A5F">
        <w:t>, ce qui ne correspond pas aux principes méthodologiques de l’évaluation de la qualité des données.</w:t>
      </w:r>
    </w:p>
    <w:p w14:paraId="1175282C" w14:textId="77777777" w:rsidR="009F303A" w:rsidRPr="00BE7A5F" w:rsidRDefault="009F303A" w:rsidP="00BE7A5F"/>
    <w:p w14:paraId="0EA05760" w14:textId="7156C1D2" w:rsidR="00297F19" w:rsidRDefault="00E0438E" w:rsidP="00297F19">
      <w:pPr>
        <w:pStyle w:val="Paragraphedeliste"/>
        <w:numPr>
          <w:ilvl w:val="0"/>
          <w:numId w:val="18"/>
        </w:numPr>
        <w:ind w:left="357" w:hanging="357"/>
      </w:pPr>
      <w:r>
        <w:rPr>
          <w:b/>
          <w:bCs/>
        </w:rPr>
        <w:t>Affir</w:t>
      </w:r>
      <w:r w:rsidR="004B679D">
        <w:rPr>
          <w:b/>
          <w:bCs/>
        </w:rPr>
        <w:t>mation</w:t>
      </w:r>
      <w:r w:rsidR="00A92F92">
        <w:rPr>
          <w:b/>
          <w:bCs/>
        </w:rPr>
        <w:t xml:space="preserve"> </w:t>
      </w:r>
      <w:r>
        <w:rPr>
          <w:b/>
          <w:bCs/>
        </w:rPr>
        <w:t>que le t</w:t>
      </w:r>
      <w:r w:rsidR="00BE7A5F" w:rsidRPr="006F27BC">
        <w:rPr>
          <w:b/>
          <w:bCs/>
        </w:rPr>
        <w:t xml:space="preserve">aux de </w:t>
      </w:r>
      <w:r w:rsidR="009F303A" w:rsidRPr="006F27BC">
        <w:rPr>
          <w:b/>
          <w:bCs/>
        </w:rPr>
        <w:t xml:space="preserve">regret </w:t>
      </w:r>
      <w:r>
        <w:rPr>
          <w:b/>
          <w:bCs/>
        </w:rPr>
        <w:t xml:space="preserve">est </w:t>
      </w:r>
      <w:r w:rsidR="00BE7A5F" w:rsidRPr="006F27BC">
        <w:rPr>
          <w:b/>
          <w:bCs/>
        </w:rPr>
        <w:t>connu</w:t>
      </w:r>
      <w:r w:rsidR="009F303A" w:rsidRPr="006F27BC">
        <w:rPr>
          <w:b/>
          <w:bCs/>
        </w:rPr>
        <w:t>,</w:t>
      </w:r>
      <w:r w:rsidR="00BE7A5F" w:rsidRPr="006F27BC">
        <w:rPr>
          <w:b/>
          <w:bCs/>
        </w:rPr>
        <w:t xml:space="preserve"> et faible ou rare</w:t>
      </w:r>
      <w:r w:rsidR="004B679D">
        <w:rPr>
          <w:b/>
          <w:bCs/>
        </w:rPr>
        <w:t>.</w:t>
      </w:r>
    </w:p>
    <w:p w14:paraId="303951B5" w14:textId="087E65EF" w:rsidR="006F27BC" w:rsidRDefault="00BE7A5F" w:rsidP="00297F19">
      <w:pPr>
        <w:pStyle w:val="Paragraphedeliste"/>
        <w:ind w:left="357"/>
      </w:pPr>
      <w:r w:rsidRPr="00BE7A5F">
        <w:t xml:space="preserve">En réalité, </w:t>
      </w:r>
      <w:r w:rsidRPr="006F27BC">
        <w:rPr>
          <w:b/>
          <w:bCs/>
        </w:rPr>
        <w:t>ce taux n’est pas connu</w:t>
      </w:r>
      <w:r w:rsidRPr="00BE7A5F">
        <w:t xml:space="preserve"> (Cohn, </w:t>
      </w:r>
      <w:hyperlink r:id="rId44" w:tooltip="The detransition rate is unknown" w:history="1">
        <w:r w:rsidRPr="009F303A">
          <w:rPr>
            <w:rStyle w:val="Lienhypertexte"/>
          </w:rPr>
          <w:t>2023</w:t>
        </w:r>
      </w:hyperlink>
      <w:r w:rsidRPr="00BE7A5F">
        <w:t>).</w:t>
      </w:r>
    </w:p>
    <w:p w14:paraId="780FCDB4" w14:textId="158B2D08" w:rsidR="003D3A1C" w:rsidRDefault="003D3A1C" w:rsidP="00297F19">
      <w:pPr>
        <w:pStyle w:val="Paragraphedeliste"/>
        <w:ind w:left="357"/>
      </w:pPr>
      <w:r w:rsidRPr="006F27BC">
        <w:rPr>
          <w:b/>
          <w:bCs/>
        </w:rPr>
        <w:t>Bustos et al. (</w:t>
      </w:r>
      <w:hyperlink r:id="rId45" w:tooltip="Regret after gender-affirmation surgery: A systematic review" w:history="1">
        <w:r w:rsidRPr="007D110D">
          <w:rPr>
            <w:rStyle w:val="Lienhypertexte"/>
          </w:rPr>
          <w:t>2021</w:t>
        </w:r>
      </w:hyperlink>
      <w:r w:rsidRPr="006F27BC">
        <w:rPr>
          <w:b/>
          <w:bCs/>
        </w:rPr>
        <w:t>)</w:t>
      </w:r>
      <w:r w:rsidRPr="003D3A1C">
        <w:t xml:space="preserve"> est une </w:t>
      </w:r>
      <w:r w:rsidRPr="006F27BC">
        <w:rPr>
          <w:b/>
          <w:bCs/>
        </w:rPr>
        <w:t>revue systématique de faible qualité méthodologique</w:t>
      </w:r>
      <w:r w:rsidRPr="003D3A1C">
        <w:t xml:space="preserve"> (Brignardello-Petersen &amp; Wiercioch, </w:t>
      </w:r>
      <w:hyperlink r:id="rId46" w:tooltip="Effects of gender affirming therapies: Evaluation of the best available evidence" w:history="1">
        <w:r w:rsidRPr="00D37C0B">
          <w:rPr>
            <w:rStyle w:val="Lienhypertexte"/>
          </w:rPr>
          <w:t>2022</w:t>
        </w:r>
      </w:hyperlink>
      <w:r w:rsidRPr="003D3A1C">
        <w:t xml:space="preserve">), souvent citée pour étayer l’idée d’un </w:t>
      </w:r>
      <w:r w:rsidRPr="006F27BC">
        <w:rPr>
          <w:b/>
          <w:bCs/>
        </w:rPr>
        <w:t>faible taux de regret (&lt; 1 %)</w:t>
      </w:r>
      <w:r w:rsidRPr="003D3A1C">
        <w:t xml:space="preserve">. Toutefois, ses propres auteurs reconnaissent que des </w:t>
      </w:r>
      <w:r w:rsidRPr="006F27BC">
        <w:rPr>
          <w:b/>
          <w:bCs/>
        </w:rPr>
        <w:t>« limitations »</w:t>
      </w:r>
      <w:r w:rsidRPr="003D3A1C">
        <w:t xml:space="preserve"> ainsi qu’un </w:t>
      </w:r>
      <w:r w:rsidRPr="006F27BC">
        <w:rPr>
          <w:b/>
          <w:bCs/>
        </w:rPr>
        <w:t>risque de biais modéré à élevé dans certaines études</w:t>
      </w:r>
      <w:r w:rsidRPr="003D3A1C">
        <w:t xml:space="preserve"> constituent un </w:t>
      </w:r>
      <w:r w:rsidRPr="006F27BC">
        <w:rPr>
          <w:b/>
          <w:bCs/>
        </w:rPr>
        <w:t>obstacle majeur à la généralisation des résultats</w:t>
      </w:r>
      <w:r w:rsidRPr="003D3A1C">
        <w:t xml:space="preserve">. Or, ces « certaines études » correspondent en réalité à </w:t>
      </w:r>
      <w:r w:rsidRPr="006F27BC">
        <w:rPr>
          <w:b/>
          <w:bCs/>
        </w:rPr>
        <w:t>23 des 27 études incluses</w:t>
      </w:r>
      <w:r w:rsidRPr="003D3A1C">
        <w:t xml:space="preserve">, représentant </w:t>
      </w:r>
      <w:r w:rsidRPr="006F27BC">
        <w:rPr>
          <w:b/>
          <w:bCs/>
        </w:rPr>
        <w:t>97 % des participants</w:t>
      </w:r>
      <w:r w:rsidRPr="003D3A1C">
        <w:t xml:space="preserve"> (Expósito-Campos &amp; D’Angelo, </w:t>
      </w:r>
      <w:hyperlink r:id="rId47" w:tooltip="Letter to the Editor concernant Bustos et al 2021" w:history="1">
        <w:r w:rsidRPr="00473E24">
          <w:rPr>
            <w:rStyle w:val="Lienhypertexte"/>
          </w:rPr>
          <w:t>2021</w:t>
        </w:r>
      </w:hyperlink>
      <w:r w:rsidRPr="003D3A1C">
        <w:t xml:space="preserve">). En outre, </w:t>
      </w:r>
      <w:r w:rsidRPr="006F27BC">
        <w:rPr>
          <w:b/>
          <w:bCs/>
        </w:rPr>
        <w:t>toutes les études incluses</w:t>
      </w:r>
      <w:r w:rsidRPr="003D3A1C">
        <w:t xml:space="preserve"> souffrent soit d’un </w:t>
      </w:r>
      <w:r w:rsidRPr="006F27BC">
        <w:rPr>
          <w:b/>
          <w:bCs/>
        </w:rPr>
        <w:t>suivi trop court</w:t>
      </w:r>
      <w:r w:rsidRPr="003D3A1C">
        <w:t xml:space="preserve">, soit d’une </w:t>
      </w:r>
      <w:r w:rsidRPr="006F27BC">
        <w:rPr>
          <w:b/>
          <w:bCs/>
        </w:rPr>
        <w:t>perte de suivi importante</w:t>
      </w:r>
      <w:r w:rsidRPr="003D3A1C">
        <w:t xml:space="preserve">, soit des deux (Cohn, </w:t>
      </w:r>
      <w:hyperlink r:id="rId48" w:tooltip="The detransition rate is unknown" w:history="1">
        <w:r w:rsidR="00473E24" w:rsidRPr="009F303A">
          <w:rPr>
            <w:rStyle w:val="Lienhypertexte"/>
          </w:rPr>
          <w:t>2023</w:t>
        </w:r>
      </w:hyperlink>
      <w:r w:rsidRPr="003D3A1C">
        <w:t>, annexe).</w:t>
      </w:r>
    </w:p>
    <w:p w14:paraId="11DEF9BE" w14:textId="77777777" w:rsidR="00291A60" w:rsidRPr="003D3A1C" w:rsidRDefault="00291A60" w:rsidP="003D3A1C"/>
    <w:p w14:paraId="587CB043" w14:textId="0BED1217" w:rsidR="00297F19" w:rsidRPr="00297F19" w:rsidRDefault="00E0438E" w:rsidP="00DB6743">
      <w:pPr>
        <w:pStyle w:val="Paragraphedeliste"/>
        <w:numPr>
          <w:ilvl w:val="0"/>
          <w:numId w:val="18"/>
        </w:numPr>
        <w:ind w:left="357" w:hanging="357"/>
      </w:pPr>
      <w:r>
        <w:t>Affirmation que des</w:t>
      </w:r>
      <w:r w:rsidR="003D3A1C" w:rsidRPr="003D3A1C">
        <w:t xml:space="preserve"> </w:t>
      </w:r>
      <w:r w:rsidR="003D3A1C" w:rsidRPr="006F27BC">
        <w:rPr>
          <w:b/>
          <w:bCs/>
        </w:rPr>
        <w:t>traitements reposant sur des preuves de qualité comparable et comportant des risques similaires</w:t>
      </w:r>
      <w:r w:rsidR="003D3A1C" w:rsidRPr="003D3A1C">
        <w:t xml:space="preserve"> (infertilité, etc.) seraient </w:t>
      </w:r>
      <w:r w:rsidR="003D3A1C" w:rsidRPr="006F27BC">
        <w:rPr>
          <w:b/>
          <w:bCs/>
        </w:rPr>
        <w:t>courants en médecine pédiatrique</w:t>
      </w:r>
      <w:r w:rsidR="00297F19">
        <w:rPr>
          <w:b/>
          <w:bCs/>
        </w:rPr>
        <w:t>.</w:t>
      </w:r>
    </w:p>
    <w:p w14:paraId="234EF57D" w14:textId="793DDA32" w:rsidR="007339F6" w:rsidRDefault="00297F19" w:rsidP="00297F19">
      <w:pPr>
        <w:pStyle w:val="Paragraphedeliste"/>
        <w:ind w:left="357"/>
      </w:pPr>
      <w:r w:rsidRPr="00297F19">
        <w:rPr>
          <w:b/>
          <w:bCs/>
        </w:rPr>
        <w:t>N</w:t>
      </w:r>
      <w:r w:rsidR="009E24B2" w:rsidRPr="00297F19">
        <w:rPr>
          <w:b/>
          <w:bCs/>
        </w:rPr>
        <w:t>on</w:t>
      </w:r>
      <w:r w:rsidR="00DC0183" w:rsidRPr="00297F19">
        <w:rPr>
          <w:b/>
          <w:bCs/>
        </w:rPr>
        <w:t xml:space="preserve"> </w:t>
      </w:r>
      <w:r w:rsidR="00925965" w:rsidRPr="00297F19">
        <w:rPr>
          <w:b/>
          <w:bCs/>
        </w:rPr>
        <w:t>étayé</w:t>
      </w:r>
      <w:r w:rsidR="003D3A1C" w:rsidRPr="003D3A1C">
        <w:t xml:space="preserve"> (Cheung et al., </w:t>
      </w:r>
      <w:hyperlink r:id="rId49" w:tooltip="Cass Review: Why medicine and the law make poor bedfellows" w:history="1">
        <w:r w:rsidR="003D3A1C" w:rsidRPr="00925965">
          <w:rPr>
            <w:rStyle w:val="Lienhypertexte"/>
          </w:rPr>
          <w:t>2025</w:t>
        </w:r>
      </w:hyperlink>
      <w:r w:rsidR="003D3A1C" w:rsidRPr="003D3A1C">
        <w:t xml:space="preserve"> ; Clayton et al., </w:t>
      </w:r>
      <w:hyperlink r:id="rId50" w:tooltip="Implications du rapport Cass pour les politiques de santé chez les mineurs australiens" w:history="1">
        <w:r w:rsidR="003D3A1C" w:rsidRPr="00304E2F">
          <w:rPr>
            <w:rStyle w:val="Lienhypertexte"/>
          </w:rPr>
          <w:t>2024</w:t>
        </w:r>
      </w:hyperlink>
      <w:r w:rsidR="003D3A1C" w:rsidRPr="003D3A1C">
        <w:t xml:space="preserve"> ; McDeavitt et al., </w:t>
      </w:r>
      <w:hyperlink r:id="rId51" w:tooltip="Critiques of the Cass Review: Fact-Checking the Peer-Reviewed and Grey Literature" w:history="1">
        <w:r w:rsidR="003D3A1C" w:rsidRPr="00E2045F">
          <w:rPr>
            <w:rStyle w:val="Lienhypertexte"/>
          </w:rPr>
          <w:t>2025b</w:t>
        </w:r>
      </w:hyperlink>
      <w:r w:rsidR="003D3A1C" w:rsidRPr="003D3A1C">
        <w:t>, tableau 3c).</w:t>
      </w:r>
    </w:p>
    <w:p w14:paraId="11F7A0D3" w14:textId="77777777" w:rsidR="006F27BC" w:rsidRDefault="006F27BC" w:rsidP="006F27BC"/>
    <w:p w14:paraId="2C7A9829" w14:textId="3BB3ED0C" w:rsidR="00297F19" w:rsidRDefault="00AE223E" w:rsidP="00297F19">
      <w:pPr>
        <w:pStyle w:val="Paragraphedeliste"/>
        <w:numPr>
          <w:ilvl w:val="0"/>
          <w:numId w:val="18"/>
        </w:numPr>
        <w:ind w:left="357" w:hanging="357"/>
      </w:pPr>
      <w:r>
        <w:t>C</w:t>
      </w:r>
      <w:r w:rsidR="00B40E53">
        <w:t>royance</w:t>
      </w:r>
      <w:r w:rsidR="009E24B2">
        <w:t xml:space="preserve"> implicite</w:t>
      </w:r>
      <w:r w:rsidR="00B40E53">
        <w:t xml:space="preserve"> selon laquelle la </w:t>
      </w:r>
      <w:r w:rsidR="00B40E53" w:rsidRPr="006F27BC">
        <w:rPr>
          <w:b/>
          <w:bCs/>
        </w:rPr>
        <w:t>dysphorie de genre</w:t>
      </w:r>
      <w:r w:rsidR="00B40E53">
        <w:t xml:space="preserve"> à l’adolescence </w:t>
      </w:r>
      <w:r w:rsidR="00B40E53" w:rsidRPr="006F27BC">
        <w:rPr>
          <w:b/>
          <w:bCs/>
        </w:rPr>
        <w:t>ne peut se résoudre</w:t>
      </w:r>
      <w:r w:rsidR="00B40E53">
        <w:t xml:space="preserve"> naturellement</w:t>
      </w:r>
      <w:r w:rsidR="00297F19">
        <w:t>.</w:t>
      </w:r>
    </w:p>
    <w:p w14:paraId="33084830" w14:textId="08CB5C67" w:rsidR="009E24B2" w:rsidRDefault="00297F19" w:rsidP="00297F19">
      <w:pPr>
        <w:pStyle w:val="Paragraphedeliste"/>
        <w:ind w:left="357"/>
      </w:pPr>
      <w:r w:rsidRPr="00390053">
        <w:rPr>
          <w:b/>
          <w:bCs/>
        </w:rPr>
        <w:t>N</w:t>
      </w:r>
      <w:r w:rsidR="00B40E53" w:rsidRPr="00390053">
        <w:rPr>
          <w:b/>
          <w:bCs/>
        </w:rPr>
        <w:t>on démontré</w:t>
      </w:r>
      <w:r w:rsidR="001A60DF">
        <w:t> </w:t>
      </w:r>
      <w:r w:rsidR="003D3A1C" w:rsidRPr="003D3A1C">
        <w:t>(</w:t>
      </w:r>
      <w:hyperlink r:id="rId52" w:tooltip="Byrne, Another myth of persistence?" w:history="1">
        <w:r w:rsidR="003D3A1C" w:rsidRPr="001A35B0">
          <w:rPr>
            <w:rStyle w:val="Lienhypertexte"/>
          </w:rPr>
          <w:t>Byrne</w:t>
        </w:r>
      </w:hyperlink>
      <w:r w:rsidR="003D3A1C" w:rsidRPr="003D3A1C">
        <w:t xml:space="preserve">, </w:t>
      </w:r>
      <w:r w:rsidR="003D3A1C" w:rsidRPr="001A35B0">
        <w:t>2024</w:t>
      </w:r>
      <w:r w:rsidR="003D3A1C" w:rsidRPr="003D3A1C">
        <w:t>)</w:t>
      </w:r>
      <w:r w:rsidR="00F4109F">
        <w:rPr>
          <w:rStyle w:val="Appelnotedebasdep"/>
        </w:rPr>
        <w:footnoteReference w:id="1"/>
      </w:r>
      <w:r w:rsidR="003D3A1C" w:rsidRPr="003D3A1C">
        <w:t xml:space="preserve"> </w:t>
      </w:r>
    </w:p>
    <w:p w14:paraId="33A4D5A7" w14:textId="77777777" w:rsidR="009251F7" w:rsidRDefault="009251F7" w:rsidP="003D3A1C"/>
    <w:p w14:paraId="72ED946C" w14:textId="3F51C28C" w:rsidR="00DF2727" w:rsidRDefault="004B679D" w:rsidP="00DF2727">
      <w:pPr>
        <w:pStyle w:val="Paragraphedeliste"/>
        <w:numPr>
          <w:ilvl w:val="0"/>
          <w:numId w:val="18"/>
        </w:numPr>
        <w:ind w:left="357" w:hanging="357"/>
        <w:rPr>
          <w:b/>
          <w:bCs/>
        </w:rPr>
      </w:pPr>
      <w:r>
        <w:rPr>
          <w:b/>
          <w:bCs/>
        </w:rPr>
        <w:t xml:space="preserve">Association de </w:t>
      </w:r>
      <w:r w:rsidR="00DF2727" w:rsidRPr="00DF2727">
        <w:rPr>
          <w:b/>
          <w:bCs/>
        </w:rPr>
        <w:t xml:space="preserve">toute psychothérapie </w:t>
      </w:r>
      <w:r w:rsidR="00E27AD5">
        <w:rPr>
          <w:b/>
          <w:bCs/>
        </w:rPr>
        <w:t xml:space="preserve">visant à aider le jeune vis-à-vis </w:t>
      </w:r>
      <w:r w:rsidR="00DF2727" w:rsidRPr="00DF2727">
        <w:rPr>
          <w:b/>
          <w:bCs/>
        </w:rPr>
        <w:t xml:space="preserve">de </w:t>
      </w:r>
      <w:r w:rsidR="00E27AD5">
        <w:rPr>
          <w:b/>
          <w:bCs/>
        </w:rPr>
        <w:t>s</w:t>
      </w:r>
      <w:r w:rsidR="00DF2727" w:rsidRPr="00DF2727">
        <w:rPr>
          <w:b/>
          <w:bCs/>
        </w:rPr>
        <w:t>a détresse liée au genre</w:t>
      </w:r>
      <w:r w:rsidR="00E27AD5">
        <w:rPr>
          <w:b/>
          <w:bCs/>
        </w:rPr>
        <w:t>,</w:t>
      </w:r>
      <w:r>
        <w:rPr>
          <w:b/>
          <w:bCs/>
        </w:rPr>
        <w:t xml:space="preserve"> à</w:t>
      </w:r>
      <w:r w:rsidR="00DF2727" w:rsidRPr="00DF2727">
        <w:rPr>
          <w:b/>
          <w:bCs/>
        </w:rPr>
        <w:t xml:space="preserve"> une « thérapie de conversion »</w:t>
      </w:r>
      <w:r w:rsidR="00E27AD5">
        <w:rPr>
          <w:b/>
          <w:bCs/>
        </w:rPr>
        <w:t>.</w:t>
      </w:r>
    </w:p>
    <w:p w14:paraId="11537BE3" w14:textId="36EB10BB" w:rsidR="003D3A1C" w:rsidRDefault="009251F7" w:rsidP="00297F19">
      <w:pPr>
        <w:pStyle w:val="Paragraphedeliste"/>
        <w:ind w:left="357"/>
      </w:pPr>
      <w:r w:rsidRPr="00390053">
        <w:rPr>
          <w:b/>
          <w:bCs/>
        </w:rPr>
        <w:t>Non démontré</w:t>
      </w:r>
      <w:r w:rsidR="003D3A1C" w:rsidRPr="003D3A1C">
        <w:t xml:space="preserve"> (D’Angelo, </w:t>
      </w:r>
      <w:hyperlink r:id="rId53" w:tooltip="Supporting autonomy: Psychotherapy is not conversion therapy" w:history="1">
        <w:r w:rsidR="003D3A1C" w:rsidRPr="00EF5C63">
          <w:rPr>
            <w:rStyle w:val="Lienhypertexte"/>
          </w:rPr>
          <w:t>2025</w:t>
        </w:r>
      </w:hyperlink>
      <w:r w:rsidR="003D3A1C" w:rsidRPr="003D3A1C">
        <w:t>)</w:t>
      </w:r>
      <w:r>
        <w:t>.</w:t>
      </w:r>
    </w:p>
    <w:p w14:paraId="06C2EE70" w14:textId="77777777" w:rsidR="005136BD" w:rsidRPr="003D3A1C" w:rsidRDefault="005136BD" w:rsidP="005136BD"/>
    <w:p w14:paraId="5A0CAF8B" w14:textId="7192F0A7" w:rsidR="00EA052B" w:rsidRDefault="00DF2727" w:rsidP="00297F19">
      <w:pPr>
        <w:pStyle w:val="Paragraphedeliste"/>
        <w:numPr>
          <w:ilvl w:val="0"/>
          <w:numId w:val="18"/>
        </w:numPr>
        <w:ind w:left="357" w:hanging="357"/>
      </w:pPr>
      <w:r>
        <w:lastRenderedPageBreak/>
        <w:t>Affirm</w:t>
      </w:r>
      <w:r w:rsidR="00E27AD5">
        <w:t>ation</w:t>
      </w:r>
      <w:r w:rsidR="003D3A1C" w:rsidRPr="003D3A1C">
        <w:t xml:space="preserve"> d’un </w:t>
      </w:r>
      <w:r w:rsidR="003D3A1C" w:rsidRPr="006F27BC">
        <w:rPr>
          <w:b/>
          <w:bCs/>
        </w:rPr>
        <w:t>consensus d’experts sur les meilleures pratiques</w:t>
      </w:r>
      <w:r w:rsidR="00E27AD5">
        <w:rPr>
          <w:b/>
          <w:bCs/>
        </w:rPr>
        <w:t>.</w:t>
      </w:r>
    </w:p>
    <w:p w14:paraId="61D970D4" w14:textId="6DAEFDA0" w:rsidR="00387E7F" w:rsidRDefault="009821A2" w:rsidP="00EA052B">
      <w:pPr>
        <w:pStyle w:val="Paragraphedeliste"/>
        <w:ind w:left="357"/>
      </w:pPr>
      <w:r>
        <w:t>E</w:t>
      </w:r>
      <w:r w:rsidR="00803FD6">
        <w:t>n réalité</w:t>
      </w:r>
      <w:r w:rsidR="00EA052B">
        <w:t xml:space="preserve"> : </w:t>
      </w:r>
      <w:r w:rsidR="003D3A1C" w:rsidRPr="006F27BC">
        <w:rPr>
          <w:b/>
          <w:bCs/>
        </w:rPr>
        <w:t>désaccord substantiel entre experts</w:t>
      </w:r>
      <w:r w:rsidR="00CD1B41">
        <w:t xml:space="preserve"> (Block, </w:t>
      </w:r>
      <w:hyperlink r:id="rId54" w:tooltip="Gender dysphoria in young people is rising – and so is professional disagreement" w:history="1">
        <w:r w:rsidR="00CD1B41" w:rsidRPr="00CD1B41">
          <w:rPr>
            <w:rStyle w:val="Lienhypertexte"/>
          </w:rPr>
          <w:t>2023</w:t>
        </w:r>
      </w:hyperlink>
      <w:r w:rsidR="00CD1B41">
        <w:t xml:space="preserve"> ; </w:t>
      </w:r>
      <w:r w:rsidR="00702E0A">
        <w:t xml:space="preserve">Kozlowska et al., </w:t>
      </w:r>
      <w:hyperlink r:id="rId55" w:tooltip="Evolving national guidelines for the treatment of children and adolescents: International perspectives" w:history="1">
        <w:r w:rsidR="00702E0A" w:rsidRPr="00702E0A">
          <w:rPr>
            <w:rStyle w:val="Lienhypertexte"/>
          </w:rPr>
          <w:t>2024</w:t>
        </w:r>
      </w:hyperlink>
      <w:r w:rsidR="00C93D28">
        <w:t>)</w:t>
      </w:r>
    </w:p>
    <w:p w14:paraId="7E7999FF" w14:textId="77777777" w:rsidR="00C47906" w:rsidRPr="00BB453A" w:rsidRDefault="00C47906" w:rsidP="009F303A">
      <w:pPr>
        <w:rPr>
          <w:b/>
          <w:bCs/>
        </w:rPr>
      </w:pPr>
    </w:p>
    <w:p w14:paraId="7FED63D0" w14:textId="19CE529B" w:rsidR="00435030" w:rsidRPr="00435030" w:rsidRDefault="00435030" w:rsidP="007D110D">
      <w:pPr>
        <w:pStyle w:val="Titre4"/>
      </w:pPr>
      <w:r w:rsidRPr="00435030">
        <w:t>Études</w:t>
      </w:r>
      <w:r w:rsidR="004037B3">
        <w:t>/revues</w:t>
      </w:r>
      <w:r w:rsidRPr="00435030">
        <w:t xml:space="preserve"> sur lesquelles ces affirmations s’appuient</w:t>
      </w:r>
    </w:p>
    <w:p w14:paraId="3AB65762" w14:textId="2DCFF1C2" w:rsidR="009F303A" w:rsidRDefault="006F27BC" w:rsidP="009F303A">
      <w:r>
        <w:t>Ces</w:t>
      </w:r>
      <w:r w:rsidR="009F303A" w:rsidRPr="009F303A">
        <w:t xml:space="preserve"> résultats sont souvent cités à partir d’études qui </w:t>
      </w:r>
      <w:r w:rsidR="009F303A" w:rsidRPr="009F303A">
        <w:rPr>
          <w:b/>
          <w:bCs/>
        </w:rPr>
        <w:t>continuent d’être fréquemment invoquées</w:t>
      </w:r>
      <w:r>
        <w:rPr>
          <w:b/>
          <w:bCs/>
        </w:rPr>
        <w:t xml:space="preserve"> (ex </w:t>
      </w:r>
      <w:r w:rsidRPr="003D3A1C">
        <w:rPr>
          <w:b/>
          <w:bCs/>
        </w:rPr>
        <w:t xml:space="preserve">Bustos et al. </w:t>
      </w:r>
      <w:hyperlink r:id="rId56" w:tooltip="Regret after gender-affirmation surgery: A systematic review" w:history="1">
        <w:r w:rsidRPr="00291A60">
          <w:rPr>
            <w:rStyle w:val="Lienhypertexte"/>
            <w:b/>
            <w:bCs/>
          </w:rPr>
          <w:t>2021</w:t>
        </w:r>
      </w:hyperlink>
      <w:r>
        <w:rPr>
          <w:b/>
          <w:bCs/>
        </w:rPr>
        <w:t xml:space="preserve">, </w:t>
      </w:r>
      <w:r w:rsidR="009F303A" w:rsidRPr="009F303A">
        <w:rPr>
          <w:b/>
          <w:bCs/>
        </w:rPr>
        <w:t xml:space="preserve"> malgré leurs erreurs</w:t>
      </w:r>
      <w:r w:rsidR="009F303A" w:rsidRPr="009F303A">
        <w:t xml:space="preserve">, </w:t>
      </w:r>
      <w:r>
        <w:t xml:space="preserve">ou </w:t>
      </w:r>
      <w:r w:rsidR="009F303A" w:rsidRPr="009F303A">
        <w:rPr>
          <w:b/>
          <w:bCs/>
        </w:rPr>
        <w:t>des conclusions non étayées par leurs propres données</w:t>
      </w:r>
      <w:r>
        <w:t>,</w:t>
      </w:r>
      <w:r w:rsidR="009F303A" w:rsidRPr="009F303A">
        <w:t xml:space="preserve"> ou  </w:t>
      </w:r>
      <w:r w:rsidR="00680F3B">
        <w:t xml:space="preserve">ayant </w:t>
      </w:r>
      <w:r w:rsidR="009F303A" w:rsidRPr="009F303A">
        <w:t xml:space="preserve">des </w:t>
      </w:r>
      <w:r w:rsidR="009F303A" w:rsidRPr="009F303A">
        <w:rPr>
          <w:b/>
          <w:bCs/>
        </w:rPr>
        <w:t>limitations sérieuses</w:t>
      </w:r>
      <w:r w:rsidR="00680F3B">
        <w:rPr>
          <w:rStyle w:val="Appelnotedebasdep"/>
          <w:b/>
          <w:bCs/>
        </w:rPr>
        <w:footnoteReference w:id="2"/>
      </w:r>
      <w:r w:rsidR="009F303A" w:rsidRPr="009F303A">
        <w:t xml:space="preserve">, souvent non mentionnées (voir la discussion de quelques exemples dans Abbruzzese et al., </w:t>
      </w:r>
      <w:hyperlink r:id="rId57" w:tooltip="Critique des études de Vries 2011/2014, Costa 2015, Carmichael 2021, Tordoff 2022" w:history="1">
        <w:r w:rsidR="009F303A" w:rsidRPr="005D67BA">
          <w:rPr>
            <w:rStyle w:val="Lienhypertexte"/>
          </w:rPr>
          <w:t>2023</w:t>
        </w:r>
      </w:hyperlink>
      <w:r w:rsidR="009F303A" w:rsidRPr="009F303A">
        <w:t xml:space="preserve"> ; Clayton et al., </w:t>
      </w:r>
      <w:hyperlink r:id="rId58" w:tooltip="The Signal and the noise: a commentary on Rew et al. (2021)." w:history="1">
        <w:r w:rsidR="009F303A" w:rsidRPr="00F0139E">
          <w:rPr>
            <w:rStyle w:val="Lienhypertexte"/>
          </w:rPr>
          <w:t>2022</w:t>
        </w:r>
      </w:hyperlink>
      <w:r w:rsidR="009F303A" w:rsidRPr="009F303A">
        <w:t xml:space="preserve">). </w:t>
      </w:r>
    </w:p>
    <w:p w14:paraId="0B7F9A8D" w14:textId="77777777" w:rsidR="009251F7" w:rsidRPr="009F303A" w:rsidRDefault="009251F7" w:rsidP="009F303A"/>
    <w:p w14:paraId="65E8A420" w14:textId="042A41EE" w:rsidR="009F303A" w:rsidRPr="009F303A" w:rsidRDefault="00A44E47" w:rsidP="009F303A">
      <w:r>
        <w:t>Selon Cohn, « </w:t>
      </w:r>
      <w:r w:rsidR="009F303A" w:rsidRPr="00A44E47">
        <w:rPr>
          <w:i/>
          <w:iCs/>
        </w:rPr>
        <w:t xml:space="preserve">Les inexactitudes </w:t>
      </w:r>
      <w:r w:rsidR="006F27BC" w:rsidRPr="00A44E47">
        <w:rPr>
          <w:i/>
          <w:iCs/>
        </w:rPr>
        <w:t xml:space="preserve">de ces études ou revues </w:t>
      </w:r>
      <w:r w:rsidR="009F303A" w:rsidRPr="00A44E47">
        <w:rPr>
          <w:i/>
          <w:iCs/>
        </w:rPr>
        <w:t xml:space="preserve">vont généralement </w:t>
      </w:r>
      <w:r w:rsidR="009F303A" w:rsidRPr="00A44E47">
        <w:rPr>
          <w:b/>
          <w:bCs/>
          <w:i/>
          <w:iCs/>
        </w:rPr>
        <w:t>dans une seule direction</w:t>
      </w:r>
      <w:r w:rsidR="009F303A" w:rsidRPr="00A44E47">
        <w:rPr>
          <w:i/>
          <w:iCs/>
        </w:rPr>
        <w:t xml:space="preserve">, c’est-à-dire qu’elles tendent à affirmer </w:t>
      </w:r>
      <w:r w:rsidR="009F303A" w:rsidRPr="00A44E47">
        <w:rPr>
          <w:b/>
          <w:bCs/>
          <w:i/>
          <w:iCs/>
        </w:rPr>
        <w:t>une probabilité de bénéfice plus élevée</w:t>
      </w:r>
      <w:r w:rsidR="009F303A" w:rsidRPr="00A44E47">
        <w:rPr>
          <w:i/>
          <w:iCs/>
        </w:rPr>
        <w:t xml:space="preserve"> et </w:t>
      </w:r>
      <w:r w:rsidR="009F303A" w:rsidRPr="00A44E47">
        <w:rPr>
          <w:b/>
          <w:bCs/>
          <w:i/>
          <w:iCs/>
        </w:rPr>
        <w:t>un risque moindre d’effets indésirables</w:t>
      </w:r>
      <w:r w:rsidR="009F303A" w:rsidRPr="00A44E47">
        <w:rPr>
          <w:i/>
          <w:iCs/>
        </w:rPr>
        <w:t xml:space="preserve"> des interventions de médecine de transition que ne le permet réellement la base de preuves, tout en </w:t>
      </w:r>
      <w:r w:rsidR="009F303A" w:rsidRPr="00A44E47">
        <w:rPr>
          <w:b/>
          <w:bCs/>
          <w:i/>
          <w:iCs/>
        </w:rPr>
        <w:t>omettant</w:t>
      </w:r>
      <w:r w:rsidR="009F303A" w:rsidRPr="00A44E47">
        <w:rPr>
          <w:i/>
          <w:iCs/>
        </w:rPr>
        <w:t xml:space="preserve"> ou en </w:t>
      </w:r>
      <w:r w:rsidR="009F303A" w:rsidRPr="00A44E47">
        <w:rPr>
          <w:b/>
          <w:bCs/>
          <w:i/>
          <w:iCs/>
        </w:rPr>
        <w:t>déformant</w:t>
      </w:r>
      <w:r w:rsidR="009F303A" w:rsidRPr="00A44E47">
        <w:rPr>
          <w:i/>
          <w:iCs/>
        </w:rPr>
        <w:t xml:space="preserve"> des options thérapeutiques alternatives </w:t>
      </w:r>
      <w:r w:rsidR="009F303A" w:rsidRPr="00A44E47">
        <w:rPr>
          <w:b/>
          <w:bCs/>
          <w:i/>
          <w:iCs/>
        </w:rPr>
        <w:t>moins invasives</w:t>
      </w:r>
      <w:r>
        <w:rPr>
          <w:b/>
          <w:bCs/>
        </w:rPr>
        <w:t> »</w:t>
      </w:r>
      <w:r w:rsidR="009F303A" w:rsidRPr="009F303A">
        <w:t>.</w:t>
      </w:r>
    </w:p>
    <w:p w14:paraId="5A1634A6" w14:textId="77777777" w:rsidR="00435030" w:rsidRDefault="00435030" w:rsidP="009F303A"/>
    <w:p w14:paraId="4531AB07" w14:textId="1B43BED5" w:rsidR="004037B3" w:rsidRPr="00182D97" w:rsidRDefault="004037B3" w:rsidP="007D110D">
      <w:pPr>
        <w:pStyle w:val="Titre4"/>
      </w:pPr>
      <w:r w:rsidRPr="00182D97">
        <w:t>Diffusion et institutionnalisation d’affirmations non étayées</w:t>
      </w:r>
    </w:p>
    <w:p w14:paraId="47EB145B" w14:textId="432689DE" w:rsidR="003D3A1C" w:rsidRDefault="00DD6881" w:rsidP="009F303A">
      <w:r>
        <w:t>Cohn constate que l</w:t>
      </w:r>
      <w:r w:rsidR="009F303A" w:rsidRPr="009F303A">
        <w:t xml:space="preserve">es affirmations </w:t>
      </w:r>
      <w:r w:rsidR="009F303A" w:rsidRPr="009F303A">
        <w:rPr>
          <w:b/>
          <w:bCs/>
        </w:rPr>
        <w:t>erronées, trompeuses et non étayées</w:t>
      </w:r>
      <w:r w:rsidR="009F303A" w:rsidRPr="009F303A">
        <w:t xml:space="preserve"> se sont propagées dans la littérature scientifique et, </w:t>
      </w:r>
      <w:r w:rsidR="009F303A" w:rsidRPr="009F303A">
        <w:rPr>
          <w:b/>
          <w:bCs/>
        </w:rPr>
        <w:t>dans les recommandations et politiques des sociétés savantes</w:t>
      </w:r>
      <w:r w:rsidR="00BB3626">
        <w:rPr>
          <w:b/>
          <w:bCs/>
        </w:rPr>
        <w:t xml:space="preserve"> </w:t>
      </w:r>
      <w:r w:rsidR="00BB3626" w:rsidRPr="00427DA1">
        <w:t>(détail dans l</w:t>
      </w:r>
      <w:r w:rsidR="00427DA1" w:rsidRPr="00427DA1">
        <w:t xml:space="preserve">a </w:t>
      </w:r>
      <w:hyperlink w:anchor="_4.3._Concernant_les" w:history="1">
        <w:r w:rsidR="00E62314">
          <w:rPr>
            <w:rStyle w:val="Lienhypertexte"/>
          </w:rPr>
          <w:t>section 4.2</w:t>
        </w:r>
      </w:hyperlink>
      <w:r w:rsidR="00BB3626" w:rsidRPr="00427DA1">
        <w:t>)</w:t>
      </w:r>
      <w:r w:rsidR="009F303A" w:rsidRPr="00427DA1">
        <w:t>.</w:t>
      </w:r>
      <w:r w:rsidR="009F303A" w:rsidRPr="009F303A">
        <w:t xml:space="preserve"> Wikipedia, qui s’appuie sur cette littérature, contient ainsi de </w:t>
      </w:r>
      <w:r w:rsidR="009F303A" w:rsidRPr="009F303A">
        <w:rPr>
          <w:b/>
          <w:bCs/>
        </w:rPr>
        <w:t>nombreuses affirmations erronées, trompeuses et non étayées</w:t>
      </w:r>
      <w:r w:rsidR="009F303A" w:rsidRPr="009F303A">
        <w:t xml:space="preserve"> sur ce sujet.</w:t>
      </w:r>
    </w:p>
    <w:p w14:paraId="7BCB31D2" w14:textId="77777777" w:rsidR="00182D97" w:rsidRPr="00BF7EAA" w:rsidRDefault="00182D97" w:rsidP="009F303A"/>
    <w:p w14:paraId="12806B06" w14:textId="7BC46982" w:rsidR="00182D97" w:rsidRPr="00182D97" w:rsidRDefault="00F30C9C" w:rsidP="00182D97">
      <w:pPr>
        <w:pStyle w:val="Titre2"/>
      </w:pPr>
      <w:bookmarkStart w:id="7" w:name="_2._Exemples_de"/>
      <w:bookmarkStart w:id="8" w:name="_Toc217928612"/>
      <w:bookmarkEnd w:id="7"/>
      <w:r>
        <w:t>2</w:t>
      </w:r>
      <w:r w:rsidR="00182D97" w:rsidRPr="00182D97">
        <w:t>. Exemples de réfutations censurées</w:t>
      </w:r>
      <w:bookmarkEnd w:id="8"/>
    </w:p>
    <w:p w14:paraId="41BC57EA" w14:textId="0554ED59" w:rsidR="00592B47" w:rsidRDefault="00483294" w:rsidP="00182D97">
      <w:r>
        <w:t>Cohn rappelle que l</w:t>
      </w:r>
      <w:r w:rsidR="00A26BE6" w:rsidRPr="00A26BE6">
        <w:t>es critiques d’articles médicaux signalant des erreurs ou des affirmations non étayées</w:t>
      </w:r>
      <w:r w:rsidR="005C6A7B">
        <w:t xml:space="preserve"> prennent le plus souvent la forme :</w:t>
      </w:r>
    </w:p>
    <w:p w14:paraId="56E0F0B5" w14:textId="1D469E6E" w:rsidR="00592B47" w:rsidRDefault="009B7FE0" w:rsidP="00972ED6">
      <w:pPr>
        <w:pStyle w:val="Paragraphedeliste"/>
        <w:numPr>
          <w:ilvl w:val="0"/>
          <w:numId w:val="47"/>
        </w:numPr>
      </w:pPr>
      <w:r>
        <w:t xml:space="preserve">de </w:t>
      </w:r>
      <w:r w:rsidR="00D507E0">
        <w:t>« </w:t>
      </w:r>
      <w:r w:rsidR="00A26BE6" w:rsidRPr="00972ED6">
        <w:rPr>
          <w:b/>
          <w:bCs/>
        </w:rPr>
        <w:t>lettres à l’éditeur</w:t>
      </w:r>
      <w:r w:rsidR="00D507E0" w:rsidRPr="00972ED6">
        <w:rPr>
          <w:b/>
          <w:bCs/>
        </w:rPr>
        <w:t> »</w:t>
      </w:r>
      <w:r w:rsidR="008E1FAC" w:rsidRPr="00972ED6">
        <w:rPr>
          <w:b/>
          <w:bCs/>
        </w:rPr>
        <w:t xml:space="preserve"> (</w:t>
      </w:r>
      <w:proofErr w:type="spellStart"/>
      <w:r w:rsidR="008E1FAC" w:rsidRPr="00972ED6">
        <w:rPr>
          <w:b/>
          <w:bCs/>
          <w:i/>
          <w:iCs/>
        </w:rPr>
        <w:t>Letter</w:t>
      </w:r>
      <w:proofErr w:type="spellEnd"/>
      <w:r w:rsidR="008E1FAC" w:rsidRPr="00972ED6">
        <w:rPr>
          <w:b/>
          <w:bCs/>
          <w:i/>
          <w:iCs/>
        </w:rPr>
        <w:t xml:space="preserve"> to Editor</w:t>
      </w:r>
      <w:r w:rsidR="008E1FAC" w:rsidRPr="00972ED6">
        <w:rPr>
          <w:b/>
          <w:bCs/>
        </w:rPr>
        <w:t>, LTE)</w:t>
      </w:r>
      <w:r w:rsidR="00A26BE6" w:rsidRPr="00A26BE6">
        <w:t>, publiées à la discrétion de l’éditeur</w:t>
      </w:r>
      <w:r w:rsidR="00592B47">
        <w:t> ;</w:t>
      </w:r>
    </w:p>
    <w:p w14:paraId="05C28BF7" w14:textId="77777777" w:rsidR="009B7FE0" w:rsidRDefault="009B7FE0" w:rsidP="00972ED6">
      <w:pPr>
        <w:pStyle w:val="Paragraphedeliste"/>
        <w:numPr>
          <w:ilvl w:val="0"/>
          <w:numId w:val="47"/>
        </w:numPr>
      </w:pPr>
      <w:r w:rsidRPr="009B7FE0">
        <w:t xml:space="preserve">de </w:t>
      </w:r>
      <w:r w:rsidRPr="009B7FE0">
        <w:rPr>
          <w:b/>
          <w:bCs/>
        </w:rPr>
        <w:t>commentaires sur des plateformes de relecture post-publication</w:t>
      </w:r>
      <w:r w:rsidRPr="009B7FE0">
        <w:t xml:space="preserve">, telles que </w:t>
      </w:r>
      <w:proofErr w:type="spellStart"/>
      <w:r w:rsidRPr="009B7FE0">
        <w:t>PubPeer</w:t>
      </w:r>
      <w:proofErr w:type="spellEnd"/>
      <w:r w:rsidRPr="009B7FE0">
        <w:t xml:space="preserve"> ;</w:t>
      </w:r>
    </w:p>
    <w:p w14:paraId="797D9E81" w14:textId="1489CE78" w:rsidR="00592B47" w:rsidRDefault="005C6A7B" w:rsidP="00972ED6">
      <w:pPr>
        <w:pStyle w:val="Paragraphedeliste"/>
        <w:numPr>
          <w:ilvl w:val="0"/>
          <w:numId w:val="47"/>
        </w:numPr>
      </w:pPr>
      <w:r>
        <w:t xml:space="preserve">ou </w:t>
      </w:r>
      <w:r w:rsidR="009B7FE0">
        <w:t>de publications</w:t>
      </w:r>
      <w:r w:rsidR="00A26BE6" w:rsidRPr="00A26BE6">
        <w:t xml:space="preserve"> dans </w:t>
      </w:r>
      <w:r w:rsidR="00A26BE6" w:rsidRPr="00972ED6">
        <w:rPr>
          <w:b/>
          <w:bCs/>
        </w:rPr>
        <w:t xml:space="preserve">d’autres </w:t>
      </w:r>
      <w:r w:rsidR="00972ED6" w:rsidRPr="00972ED6">
        <w:rPr>
          <w:b/>
          <w:bCs/>
        </w:rPr>
        <w:t>journaux</w:t>
      </w:r>
      <w:r w:rsidR="00972ED6">
        <w:t xml:space="preserve"> que l’article critiqué.</w:t>
      </w:r>
    </w:p>
    <w:p w14:paraId="7CEAA841" w14:textId="77777777" w:rsidR="00972ED6" w:rsidRDefault="00972ED6" w:rsidP="00182D97"/>
    <w:p w14:paraId="4B3F00EE" w14:textId="77777777" w:rsidR="00972ED6" w:rsidRDefault="00A26BE6" w:rsidP="00182D97">
      <w:r w:rsidRPr="00A26BE6">
        <w:t xml:space="preserve">Elles peuvent conduire à une </w:t>
      </w:r>
      <w:r w:rsidRPr="00A26BE6">
        <w:rPr>
          <w:b/>
          <w:bCs/>
        </w:rPr>
        <w:t>correction ou à une rétractation</w:t>
      </w:r>
      <w:r w:rsidR="00972ED6">
        <w:t>.</w:t>
      </w:r>
    </w:p>
    <w:p w14:paraId="2621A7A3" w14:textId="4682898D" w:rsidR="00182D97" w:rsidRDefault="009B7FE0" w:rsidP="00182D97">
      <w:r w:rsidRPr="009B7FE0">
        <w:rPr>
          <w:b/>
          <w:bCs/>
        </w:rPr>
        <w:t>Toutefois</w:t>
      </w:r>
      <w:r w:rsidRPr="009B7FE0">
        <w:t xml:space="preserve">, </w:t>
      </w:r>
      <w:r w:rsidR="00A26BE6">
        <w:t xml:space="preserve">ces </w:t>
      </w:r>
      <w:r w:rsidR="00A26BE6" w:rsidRPr="00A26BE6">
        <w:rPr>
          <w:b/>
          <w:bCs/>
        </w:rPr>
        <w:t>lettres sont fréquemment rejetées</w:t>
      </w:r>
      <w:r w:rsidR="00A26BE6" w:rsidRPr="00A26BE6">
        <w:t xml:space="preserve">, laissant </w:t>
      </w:r>
      <w:r w:rsidR="00A26BE6" w:rsidRPr="00A26BE6">
        <w:rPr>
          <w:b/>
          <w:bCs/>
        </w:rPr>
        <w:t>les affirmations contestées inchangées</w:t>
      </w:r>
      <w:r w:rsidR="00A26BE6" w:rsidRPr="00A26BE6">
        <w:t xml:space="preserve"> dans la littérature scientifique.</w:t>
      </w:r>
    </w:p>
    <w:p w14:paraId="41A072F5" w14:textId="77777777" w:rsidR="00E62838" w:rsidRPr="00182D97" w:rsidRDefault="00E62838" w:rsidP="00182D97"/>
    <w:p w14:paraId="1DD63D88" w14:textId="7D733D85" w:rsidR="00726EEF" w:rsidRDefault="00E62838" w:rsidP="00182D97">
      <w:r>
        <w:t xml:space="preserve">Cohn </w:t>
      </w:r>
      <w:r w:rsidR="00182D97" w:rsidRPr="00182D97">
        <w:t>présente</w:t>
      </w:r>
      <w:r w:rsidR="00483294">
        <w:t xml:space="preserve"> ensuite</w:t>
      </w:r>
      <w:r w:rsidR="00182D97" w:rsidRPr="00182D97">
        <w:t xml:space="preserve"> </w:t>
      </w:r>
      <w:r w:rsidR="002611B2" w:rsidRPr="002611B2">
        <w:rPr>
          <w:b/>
          <w:bCs/>
        </w:rPr>
        <w:t>quatre</w:t>
      </w:r>
      <w:r w:rsidR="00182D97" w:rsidRPr="002611B2">
        <w:rPr>
          <w:b/>
          <w:bCs/>
        </w:rPr>
        <w:t xml:space="preserve"> critiques</w:t>
      </w:r>
      <w:r w:rsidR="00E310DE">
        <w:rPr>
          <w:b/>
          <w:bCs/>
        </w:rPr>
        <w:t xml:space="preserve"> </w:t>
      </w:r>
      <w:r w:rsidR="00182D97" w:rsidRPr="002611B2">
        <w:rPr>
          <w:b/>
          <w:bCs/>
        </w:rPr>
        <w:t>rejetées</w:t>
      </w:r>
      <w:r w:rsidR="00182D97" w:rsidRPr="00182D97">
        <w:t xml:space="preserve"> par l</w:t>
      </w:r>
      <w:r w:rsidR="006E7194">
        <w:t xml:space="preserve">e journal </w:t>
      </w:r>
      <w:r w:rsidR="00182D97" w:rsidRPr="00182D97">
        <w:t>d’origine</w:t>
      </w:r>
      <w:r w:rsidR="00C966E9">
        <w:t> </w:t>
      </w:r>
      <w:r w:rsidR="00C966E9" w:rsidRPr="00C966E9">
        <w:rPr>
          <w:i/>
          <w:iCs/>
        </w:rPr>
        <w:t xml:space="preserve">: </w:t>
      </w:r>
      <w:proofErr w:type="spellStart"/>
      <w:r w:rsidR="00C966E9" w:rsidRPr="00C966E9">
        <w:rPr>
          <w:i/>
          <w:iCs/>
        </w:rPr>
        <w:t>Pediatrics</w:t>
      </w:r>
      <w:proofErr w:type="spellEnd"/>
      <w:r w:rsidR="00C966E9" w:rsidRPr="00C966E9">
        <w:rPr>
          <w:i/>
          <w:iCs/>
        </w:rPr>
        <w:t xml:space="preserve">, JAMA </w:t>
      </w:r>
      <w:proofErr w:type="spellStart"/>
      <w:r w:rsidR="00C966E9" w:rsidRPr="00C966E9">
        <w:rPr>
          <w:i/>
          <w:iCs/>
        </w:rPr>
        <w:t>Psychiatry</w:t>
      </w:r>
      <w:proofErr w:type="spellEnd"/>
      <w:r w:rsidR="00C966E9" w:rsidRPr="00C966E9">
        <w:rPr>
          <w:i/>
          <w:iCs/>
        </w:rPr>
        <w:t xml:space="preserve">, New </w:t>
      </w:r>
      <w:proofErr w:type="spellStart"/>
      <w:r w:rsidR="00C966E9" w:rsidRPr="00C966E9">
        <w:rPr>
          <w:i/>
          <w:iCs/>
        </w:rPr>
        <w:t>England</w:t>
      </w:r>
      <w:proofErr w:type="spellEnd"/>
      <w:r w:rsidR="00C966E9" w:rsidRPr="00C966E9">
        <w:rPr>
          <w:i/>
          <w:iCs/>
        </w:rPr>
        <w:t xml:space="preserve"> Journal of </w:t>
      </w:r>
      <w:proofErr w:type="spellStart"/>
      <w:r w:rsidR="00C966E9" w:rsidRPr="00C966E9">
        <w:rPr>
          <w:i/>
          <w:iCs/>
        </w:rPr>
        <w:t>Medicine</w:t>
      </w:r>
      <w:proofErr w:type="spellEnd"/>
      <w:r w:rsidR="00C966E9" w:rsidRPr="00C966E9">
        <w:rPr>
          <w:i/>
          <w:iCs/>
        </w:rPr>
        <w:t xml:space="preserve">, JAMA </w:t>
      </w:r>
      <w:proofErr w:type="spellStart"/>
      <w:r w:rsidR="00C966E9" w:rsidRPr="00C966E9">
        <w:rPr>
          <w:i/>
          <w:iCs/>
        </w:rPr>
        <w:t>Surgery</w:t>
      </w:r>
      <w:proofErr w:type="spellEnd"/>
      <w:r w:rsidR="00C966E9">
        <w:rPr>
          <w:i/>
          <w:iCs/>
        </w:rPr>
        <w:t>.</w:t>
      </w:r>
    </w:p>
    <w:p w14:paraId="3CB2A096" w14:textId="77777777" w:rsidR="006E7194" w:rsidRDefault="006E7194" w:rsidP="00182D97"/>
    <w:p w14:paraId="1F8CDE1F" w14:textId="405C8D35" w:rsidR="006E7194" w:rsidRDefault="00F30C9C" w:rsidP="00F51227">
      <w:pPr>
        <w:pStyle w:val="Titre3"/>
        <w:rPr>
          <w:i/>
          <w:iCs/>
          <w:lang w:val="en-US"/>
        </w:rPr>
      </w:pPr>
      <w:bookmarkStart w:id="9" w:name="_Toc217928613"/>
      <w:r>
        <w:rPr>
          <w:lang w:val="en-US"/>
        </w:rPr>
        <w:lastRenderedPageBreak/>
        <w:t>2</w:t>
      </w:r>
      <w:r w:rsidR="00B84884">
        <w:rPr>
          <w:lang w:val="en-US"/>
        </w:rPr>
        <w:t xml:space="preserve">.1. </w:t>
      </w:r>
      <w:r w:rsidR="006E7194" w:rsidRPr="00FF78B4">
        <w:rPr>
          <w:lang w:val="en-US"/>
        </w:rPr>
        <w:t>Turban et al. 2020</w:t>
      </w:r>
      <w:r w:rsidR="0017271C">
        <w:rPr>
          <w:lang w:val="en-US"/>
        </w:rPr>
        <w:t>b</w:t>
      </w:r>
      <w:r w:rsidR="00FF78B4">
        <w:rPr>
          <w:i/>
          <w:iCs/>
          <w:lang w:val="en-US"/>
        </w:rPr>
        <w:t xml:space="preserve">, </w:t>
      </w:r>
      <w:r w:rsidR="00FF78B4" w:rsidRPr="00182D97">
        <w:rPr>
          <w:i/>
          <w:iCs/>
          <w:lang w:val="en-US"/>
        </w:rPr>
        <w:t>Pediatrics</w:t>
      </w:r>
      <w:bookmarkEnd w:id="9"/>
    </w:p>
    <w:p w14:paraId="12FAEF9F" w14:textId="4EF08277" w:rsidR="00367520" w:rsidRPr="00367520" w:rsidRDefault="00A9292A" w:rsidP="00367520">
      <w:pPr>
        <w:rPr>
          <w:lang w:val="en-US"/>
        </w:rPr>
      </w:pPr>
      <w:r w:rsidRPr="00A9292A">
        <w:rPr>
          <w:rFonts w:ascii="Segoe UI Emoji" w:hAnsi="Segoe UI Emoji" w:cs="Segoe UI Emoji"/>
        </w:rPr>
        <w:t>📄</w:t>
      </w:r>
      <w:r w:rsidR="005C6A7B">
        <w:rPr>
          <w:lang w:val="en-US"/>
        </w:rPr>
        <w:t xml:space="preserve"> </w:t>
      </w:r>
      <w:r w:rsidR="00367520">
        <w:rPr>
          <w:lang w:val="en-US"/>
        </w:rPr>
        <w:t xml:space="preserve">Étude </w:t>
      </w:r>
      <w:proofErr w:type="spellStart"/>
      <w:r w:rsidR="00367520">
        <w:rPr>
          <w:lang w:val="en-US"/>
        </w:rPr>
        <w:t>transversale</w:t>
      </w:r>
      <w:proofErr w:type="spellEnd"/>
      <w:r w:rsidR="00367520">
        <w:rPr>
          <w:lang w:val="en-US"/>
        </w:rPr>
        <w:t xml:space="preserve"> : </w:t>
      </w:r>
      <w:hyperlink r:id="rId59" w:history="1">
        <w:r w:rsidR="00367520" w:rsidRPr="00182D97">
          <w:rPr>
            <w:rStyle w:val="Lienhypertexte"/>
            <w:lang w:val="en-US"/>
          </w:rPr>
          <w:t>Pubertal Suppression for Transgender Youth and Risk of Suicidal Ideation</w:t>
        </w:r>
      </w:hyperlink>
    </w:p>
    <w:p w14:paraId="182A96E4" w14:textId="77777777" w:rsidR="00367520" w:rsidRPr="005C6A7B" w:rsidRDefault="00367520" w:rsidP="00182D97">
      <w:pPr>
        <w:rPr>
          <w:lang w:val="en-US"/>
        </w:rPr>
      </w:pPr>
    </w:p>
    <w:p w14:paraId="2EDB79DB" w14:textId="39A20871" w:rsidR="006E7194" w:rsidRDefault="000D188F" w:rsidP="00182D97">
      <w:r>
        <w:t>Le</w:t>
      </w:r>
      <w:r w:rsidR="006E7194" w:rsidRPr="00182D97">
        <w:t xml:space="preserve">s </w:t>
      </w:r>
      <w:r w:rsidR="006E7194" w:rsidRPr="003A00A3">
        <w:rPr>
          <w:b/>
          <w:bCs/>
        </w:rPr>
        <w:t xml:space="preserve">conclusions </w:t>
      </w:r>
      <w:r w:rsidRPr="000D188F">
        <w:t>de cette étude</w:t>
      </w:r>
      <w:r>
        <w:rPr>
          <w:b/>
          <w:bCs/>
        </w:rPr>
        <w:t xml:space="preserve"> </w:t>
      </w:r>
      <w:r w:rsidR="006E7194" w:rsidRPr="003A00A3">
        <w:rPr>
          <w:b/>
          <w:bCs/>
        </w:rPr>
        <w:t>ne sont pas étayées</w:t>
      </w:r>
      <w:r w:rsidR="006E7194" w:rsidRPr="00182D97">
        <w:t xml:space="preserve"> par ses </w:t>
      </w:r>
      <w:r w:rsidR="006E7194" w:rsidRPr="003A00A3">
        <w:rPr>
          <w:b/>
          <w:bCs/>
        </w:rPr>
        <w:t>données</w:t>
      </w:r>
      <w:r w:rsidR="006E7194" w:rsidRPr="00182D97">
        <w:t xml:space="preserve"> ni par ses analyses</w:t>
      </w:r>
      <w:r w:rsidR="006E7194">
        <w:t>.</w:t>
      </w:r>
    </w:p>
    <w:p w14:paraId="2C85DC97" w14:textId="77777777" w:rsidR="006E7194" w:rsidRDefault="006E7194" w:rsidP="00182D97"/>
    <w:p w14:paraId="76FBFF71" w14:textId="27B7803B" w:rsidR="008529EC" w:rsidRDefault="008529EC" w:rsidP="00182D97">
      <w:r>
        <w:t xml:space="preserve">Cette étude a </w:t>
      </w:r>
      <w:r w:rsidR="003F4BE7">
        <w:t xml:space="preserve">analysé </w:t>
      </w:r>
      <w:r w:rsidR="00182D97" w:rsidRPr="00182D97">
        <w:t xml:space="preserve"> </w:t>
      </w:r>
      <w:r w:rsidR="003F4BE7">
        <w:t xml:space="preserve">des données de </w:t>
      </w:r>
      <w:r w:rsidRPr="008529EC">
        <w:t>l’US </w:t>
      </w:r>
      <w:proofErr w:type="spellStart"/>
      <w:r>
        <w:fldChar w:fldCharType="begin"/>
      </w:r>
      <w:r>
        <w:instrText>HYPERLINK "https://transequality.org/sites/default/files/docs/usts/USTS-Full-Report-Dec17.pdf" \t "_blank"</w:instrText>
      </w:r>
      <w:r>
        <w:fldChar w:fldCharType="separate"/>
      </w:r>
      <w:r w:rsidRPr="008529EC">
        <w:rPr>
          <w:rStyle w:val="Lienhypertexte"/>
        </w:rPr>
        <w:t>Transgender</w:t>
      </w:r>
      <w:proofErr w:type="spellEnd"/>
      <w:r w:rsidRPr="008529EC">
        <w:rPr>
          <w:rStyle w:val="Lienhypertexte"/>
        </w:rPr>
        <w:t xml:space="preserve"> Survey 2015</w:t>
      </w:r>
      <w:r>
        <w:fldChar w:fldCharType="end"/>
      </w:r>
      <w:r w:rsidRPr="008529EC">
        <w:t> </w:t>
      </w:r>
      <w:r w:rsidR="00B83402">
        <w:t>[</w:t>
      </w:r>
      <w:r w:rsidRPr="008529EC">
        <w:t>dont les problèmes d'échantillonnage sont décrits dans l'</w:t>
      </w:r>
      <w:hyperlink r:id="rId60" w:tgtFrame="_blank" w:tooltip="Traduction en français de l'article de Singal:  &quot;Sciences Vs&quot; a cité 7 études (...)" w:history="1">
        <w:r w:rsidRPr="008529EC">
          <w:rPr>
            <w:rStyle w:val="Lienhypertexte"/>
          </w:rPr>
          <w:t xml:space="preserve">article Science Vs de </w:t>
        </w:r>
        <w:proofErr w:type="spellStart"/>
        <w:r w:rsidRPr="008529EC">
          <w:rPr>
            <w:rStyle w:val="Lienhypertexte"/>
          </w:rPr>
          <w:t>Singal</w:t>
        </w:r>
        <w:proofErr w:type="spellEnd"/>
        <w:r w:rsidRPr="008529EC">
          <w:rPr>
            <w:rStyle w:val="Lienhypertexte"/>
          </w:rPr>
          <w:t xml:space="preserve"> traduit en français</w:t>
        </w:r>
      </w:hyperlink>
      <w:r w:rsidRPr="008529EC">
        <w:t>, étude 6</w:t>
      </w:r>
      <w:r w:rsidR="00B83402">
        <w:t>]</w:t>
      </w:r>
      <w:r>
        <w:t>.</w:t>
      </w:r>
    </w:p>
    <w:p w14:paraId="481C445F" w14:textId="0195B3B9" w:rsidR="00CB508E" w:rsidRDefault="003F4BE7" w:rsidP="00182D97">
      <w:r>
        <w:t>Turban et al.</w:t>
      </w:r>
      <w:r w:rsidR="00182D97" w:rsidRPr="00182D97">
        <w:t xml:space="preserve"> rapportent une </w:t>
      </w:r>
      <w:r w:rsidR="00182D97" w:rsidRPr="00594747">
        <w:rPr>
          <w:b/>
          <w:bCs/>
        </w:rPr>
        <w:t>association entre la réception de bloqueurs de puberté et une réduction des probabilités d’idéation suicidaire au</w:t>
      </w:r>
      <w:r w:rsidR="00182D97" w:rsidRPr="00182D97">
        <w:t xml:space="preserve"> cours de la vie. Ils </w:t>
      </w:r>
      <w:r w:rsidR="00B83402" w:rsidRPr="00182D97">
        <w:t>conclu</w:t>
      </w:r>
      <w:r w:rsidR="00B83402">
        <w:t>e</w:t>
      </w:r>
      <w:r w:rsidR="00B83402" w:rsidRPr="00182D97">
        <w:t>nt</w:t>
      </w:r>
      <w:r w:rsidR="00182D97" w:rsidRPr="00182D97">
        <w:t xml:space="preserve"> : « </w:t>
      </w:r>
      <w:r w:rsidR="00182D97" w:rsidRPr="003A00A3">
        <w:rPr>
          <w:i/>
          <w:iCs/>
        </w:rPr>
        <w:t xml:space="preserve">Cette étude renforce les recommandations de l’Endocrine Society et de la </w:t>
      </w:r>
      <w:hyperlink r:id="rId61" w:tooltip="Association mondiale de professionnels pour la santé des personnes transgenres" w:history="1">
        <w:r w:rsidR="00182D97" w:rsidRPr="00A34EA3">
          <w:rPr>
            <w:rStyle w:val="Lienhypertexte"/>
            <w:i/>
            <w:iCs/>
          </w:rPr>
          <w:t>WPATH</w:t>
        </w:r>
      </w:hyperlink>
      <w:r w:rsidR="00182D97" w:rsidRPr="003A00A3">
        <w:rPr>
          <w:i/>
          <w:iCs/>
        </w:rPr>
        <w:t xml:space="preserve"> en faveur de la mise à disposition des bloqueurs de puberté pour les adolescents transgenres qui le souhaitent</w:t>
      </w:r>
      <w:r w:rsidR="00182D97" w:rsidRPr="00182D97">
        <w:t xml:space="preserve"> »</w:t>
      </w:r>
      <w:r w:rsidR="00A6401C">
        <w:t>.</w:t>
      </w:r>
    </w:p>
    <w:p w14:paraId="2DD7FE5D" w14:textId="77777777" w:rsidR="00A6401C" w:rsidRDefault="00A6401C" w:rsidP="00182D97"/>
    <w:p w14:paraId="2AA45363" w14:textId="68DF86C9" w:rsidR="004F0067" w:rsidRPr="007621E5" w:rsidRDefault="007621E5" w:rsidP="00182D97">
      <w:pPr>
        <w:rPr>
          <w:rFonts w:ascii="Segoe UI Symbol" w:hAnsi="Segoe UI Symbol" w:cs="Segoe UI Symbol"/>
          <w:b/>
          <w:bCs/>
        </w:rPr>
      </w:pPr>
      <w:r w:rsidRPr="007621E5">
        <w:rPr>
          <w:rFonts w:ascii="Segoe UI Symbol" w:hAnsi="Segoe UI Symbol" w:cs="Segoe UI Symbol"/>
          <w:b/>
          <w:bCs/>
        </w:rPr>
        <w:t>➥</w:t>
      </w:r>
      <w:r>
        <w:rPr>
          <w:b/>
          <w:bCs/>
        </w:rPr>
        <w:t xml:space="preserve"> </w:t>
      </w:r>
      <w:proofErr w:type="spellStart"/>
      <w:r w:rsidR="00CB508E" w:rsidRPr="00A6401C">
        <w:rPr>
          <w:b/>
          <w:bCs/>
        </w:rPr>
        <w:t>Biggs</w:t>
      </w:r>
      <w:proofErr w:type="spellEnd"/>
      <w:r w:rsidR="00CB508E" w:rsidRPr="00A6401C">
        <w:rPr>
          <w:b/>
          <w:bCs/>
        </w:rPr>
        <w:t xml:space="preserve"> </w:t>
      </w:r>
      <w:r w:rsidR="00CB508E">
        <w:t xml:space="preserve">a rédigé une </w:t>
      </w:r>
      <w:r w:rsidR="00CB508E" w:rsidRPr="00CA1B5F">
        <w:rPr>
          <w:b/>
          <w:bCs/>
        </w:rPr>
        <w:t>lettre à l’éditeur</w:t>
      </w:r>
      <w:r w:rsidR="00CB508E">
        <w:t xml:space="preserve"> au journal (</w:t>
      </w:r>
      <w:proofErr w:type="spellStart"/>
      <w:r w:rsidR="00CB508E" w:rsidRPr="00CB508E">
        <w:rPr>
          <w:i/>
          <w:iCs/>
        </w:rPr>
        <w:t>Pediatrics</w:t>
      </w:r>
      <w:proofErr w:type="spellEnd"/>
      <w:r w:rsidR="00B83402">
        <w:t>), mentionnant</w:t>
      </w:r>
      <w:r w:rsidR="00A13299">
        <w:t xml:space="preserve"> que</w:t>
      </w:r>
      <w:r w:rsidR="00182D97" w:rsidRPr="00182D97">
        <w:t xml:space="preserve"> les résultats reposaient sur une question connue pour avoir </w:t>
      </w:r>
      <w:r w:rsidR="00182D97" w:rsidRPr="00CB508E">
        <w:rPr>
          <w:i/>
          <w:iCs/>
        </w:rPr>
        <w:t xml:space="preserve">« </w:t>
      </w:r>
      <w:r w:rsidR="00182D97" w:rsidRPr="00CB508E">
        <w:rPr>
          <w:b/>
          <w:bCs/>
          <w:i/>
          <w:iCs/>
        </w:rPr>
        <w:t>suscité des réponses non fiables concernant les bloqueurs de puberté</w:t>
      </w:r>
      <w:r w:rsidR="00182D97" w:rsidRPr="00182D97">
        <w:t xml:space="preserve"> »</w:t>
      </w:r>
      <w:r w:rsidR="00A13299">
        <w:t xml:space="preserve">, que </w:t>
      </w:r>
      <w:r w:rsidR="00182D97" w:rsidRPr="00182D97">
        <w:t xml:space="preserve">l’enquête était non représentative, et </w:t>
      </w:r>
      <w:r w:rsidR="00A13299">
        <w:t xml:space="preserve">qu’il pouvait avoir </w:t>
      </w:r>
      <w:r w:rsidR="00182D97" w:rsidRPr="00182D97">
        <w:t xml:space="preserve">inférence d’un </w:t>
      </w:r>
      <w:r w:rsidR="00182D97" w:rsidRPr="004F0067">
        <w:rPr>
          <w:b/>
          <w:bCs/>
        </w:rPr>
        <w:t>lien de causalité inversé</w:t>
      </w:r>
      <w:r w:rsidR="00182D97" w:rsidRPr="00182D97">
        <w:t xml:space="preserve"> : il est en effet possible que les jeunes présentant des probabilités plus élevées d’idéation suicidaire aient été moins susceptibles de se voir proposer des bloqueurs de puberté. </w:t>
      </w:r>
    </w:p>
    <w:p w14:paraId="6937195E" w14:textId="2CDD4EA9" w:rsidR="00763559" w:rsidRDefault="00182D97" w:rsidP="00182D97">
      <w:proofErr w:type="spellStart"/>
      <w:r w:rsidRPr="00182D97">
        <w:rPr>
          <w:i/>
          <w:iCs/>
        </w:rPr>
        <w:t>Pediatrics</w:t>
      </w:r>
      <w:proofErr w:type="spellEnd"/>
      <w:r w:rsidRPr="00182D97">
        <w:t xml:space="preserve"> a </w:t>
      </w:r>
      <w:r w:rsidRPr="006243D2">
        <w:rPr>
          <w:b/>
          <w:bCs/>
        </w:rPr>
        <w:t xml:space="preserve">rejeté </w:t>
      </w:r>
      <w:r w:rsidR="00777D0B">
        <w:rPr>
          <w:b/>
          <w:bCs/>
        </w:rPr>
        <w:t>c</w:t>
      </w:r>
      <w:r w:rsidR="00763559">
        <w:rPr>
          <w:b/>
          <w:bCs/>
        </w:rPr>
        <w:t>e commentaire</w:t>
      </w:r>
      <w:r w:rsidRPr="006243D2">
        <w:rPr>
          <w:b/>
          <w:bCs/>
        </w:rPr>
        <w:t xml:space="preserve"> de M. Biggs soulevant ces objections</w:t>
      </w:r>
      <w:r w:rsidRPr="00182D97">
        <w:t>, sans fournir de justification dans sa lettre de réponse</w:t>
      </w:r>
      <w:r w:rsidR="00C31005">
        <w:t>.</w:t>
      </w:r>
    </w:p>
    <w:p w14:paraId="656F2118" w14:textId="698B060D" w:rsidR="00763559" w:rsidRDefault="00594747" w:rsidP="00182D97">
      <w:r>
        <w:t>La</w:t>
      </w:r>
      <w:r w:rsidR="00182D97" w:rsidRPr="00182D97">
        <w:t xml:space="preserve"> critique a </w:t>
      </w:r>
      <w:r>
        <w:t xml:space="preserve">néanmoins </w:t>
      </w:r>
      <w:r w:rsidR="00182D97" w:rsidRPr="00182D97">
        <w:t xml:space="preserve">été jugée suffisamment solide pour être acceptée et publiée ultérieurement dans </w:t>
      </w:r>
      <w:r w:rsidR="00182D97" w:rsidRPr="00182D97">
        <w:rPr>
          <w:i/>
          <w:iCs/>
        </w:rPr>
        <w:t xml:space="preserve">Archives of </w:t>
      </w:r>
      <w:proofErr w:type="spellStart"/>
      <w:r w:rsidR="00182D97" w:rsidRPr="00182D97">
        <w:rPr>
          <w:i/>
          <w:iCs/>
        </w:rPr>
        <w:t>Sexual</w:t>
      </w:r>
      <w:proofErr w:type="spellEnd"/>
      <w:r w:rsidR="00182D97" w:rsidRPr="00182D97">
        <w:rPr>
          <w:i/>
          <w:iCs/>
        </w:rPr>
        <w:t xml:space="preserve"> </w:t>
      </w:r>
      <w:proofErr w:type="spellStart"/>
      <w:r w:rsidR="00182D97" w:rsidRPr="00182D97">
        <w:rPr>
          <w:i/>
          <w:iCs/>
        </w:rPr>
        <w:t>Behavior</w:t>
      </w:r>
      <w:proofErr w:type="spellEnd"/>
      <w:r w:rsidR="00182D97" w:rsidRPr="00182D97">
        <w:t xml:space="preserve"> (</w:t>
      </w:r>
      <w:proofErr w:type="spellStart"/>
      <w:r w:rsidR="00182D97" w:rsidRPr="00182D97">
        <w:t>Biggs</w:t>
      </w:r>
      <w:proofErr w:type="spellEnd"/>
      <w:r w:rsidR="00182D97" w:rsidRPr="00182D97">
        <w:t xml:space="preserve">, </w:t>
      </w:r>
      <w:hyperlink r:id="rId62" w:tooltip="Lettre à l editeur concernant Turban et al. 2020, bloqueurs, publiée par Archives" w:history="1">
        <w:r w:rsidR="006243D2" w:rsidRPr="00182D97">
          <w:rPr>
            <w:rStyle w:val="Lienhypertexte"/>
          </w:rPr>
          <w:t>2020</w:t>
        </w:r>
      </w:hyperlink>
      <w:r w:rsidR="00182D97" w:rsidRPr="00182D97">
        <w:t xml:space="preserve">). </w:t>
      </w:r>
    </w:p>
    <w:p w14:paraId="35262A41" w14:textId="77777777" w:rsidR="00763559" w:rsidRDefault="00763559" w:rsidP="00182D97"/>
    <w:p w14:paraId="0385CDCE" w14:textId="5FDA32A7" w:rsidR="00182D97" w:rsidRDefault="00594747" w:rsidP="00182D97">
      <w:r>
        <w:t>Malgré tout, l</w:t>
      </w:r>
      <w:r w:rsidR="00182D97" w:rsidRPr="00182D97">
        <w:t>’article de Turban et al. (</w:t>
      </w:r>
      <w:hyperlink r:id="rId63" w:tooltip="Pubertal Suppression for Transgender Youth and Risk of Suicidal Ideation" w:history="1">
        <w:r w:rsidR="00182D97" w:rsidRPr="006274FD">
          <w:rPr>
            <w:rStyle w:val="Lienhypertexte"/>
          </w:rPr>
          <w:t>2020b</w:t>
        </w:r>
      </w:hyperlink>
      <w:r w:rsidR="00182D97" w:rsidRPr="00182D97">
        <w:t>) continue d’être très cité (416 citations selon Google Scholar fin février 2025), souvent pour suggérer que les interventions médicales de transition sont probablement bénéfiques (</w:t>
      </w:r>
      <w:r w:rsidR="00182D97" w:rsidRPr="00C31005">
        <w:rPr>
          <w:i/>
          <w:iCs/>
        </w:rPr>
        <w:t>Endocrine Society</w:t>
      </w:r>
      <w:r w:rsidR="00182D97" w:rsidRPr="00182D97">
        <w:t xml:space="preserve">, </w:t>
      </w:r>
      <w:hyperlink r:id="rId64" w:tooltip="Déclaration de position " w:history="1">
        <w:r w:rsidR="00182D97" w:rsidRPr="0002629B">
          <w:rPr>
            <w:rStyle w:val="Lienhypertexte"/>
          </w:rPr>
          <w:t>2020</w:t>
        </w:r>
      </w:hyperlink>
      <w:r w:rsidR="00182D97" w:rsidRPr="00182D97">
        <w:t>) ou que leur absence augmenterait l’idéation suicidaire ou le risque suicidaire (</w:t>
      </w:r>
      <w:hyperlink r:id="rId65" w:tooltip="For some trans youth, suicide risk lowers with puberty suppression " w:history="1">
        <w:r w:rsidR="00C44E54" w:rsidRPr="00C44E54">
          <w:rPr>
            <w:rStyle w:val="Lienhypertexte"/>
          </w:rPr>
          <w:t>Reuters</w:t>
        </w:r>
      </w:hyperlink>
      <w:r w:rsidR="00182D97" w:rsidRPr="00182D97">
        <w:t>, 2020).</w:t>
      </w:r>
      <w:r w:rsidR="0002629B">
        <w:t xml:space="preserve"> </w:t>
      </w:r>
    </w:p>
    <w:p w14:paraId="66261989" w14:textId="77777777" w:rsidR="006274FD" w:rsidRDefault="006274FD" w:rsidP="00182D97"/>
    <w:p w14:paraId="0D7DE709" w14:textId="3E0306B1" w:rsidR="00763559" w:rsidRPr="00182D97" w:rsidRDefault="00763559" w:rsidP="00763559">
      <w:r w:rsidRPr="00182D97">
        <w:t xml:space="preserve">L’étude a </w:t>
      </w:r>
      <w:r w:rsidR="006274FD">
        <w:t xml:space="preserve">par ailleurs </w:t>
      </w:r>
      <w:r w:rsidRPr="00182D97">
        <w:t xml:space="preserve">été évaluée comme étant de </w:t>
      </w:r>
      <w:r w:rsidR="007621E5">
        <w:t>« </w:t>
      </w:r>
      <w:r w:rsidRPr="007621E5">
        <w:rPr>
          <w:b/>
          <w:bCs/>
        </w:rPr>
        <w:t>faible</w:t>
      </w:r>
      <w:r w:rsidR="007621E5">
        <w:rPr>
          <w:b/>
          <w:bCs/>
        </w:rPr>
        <w:t> »</w:t>
      </w:r>
      <w:r w:rsidRPr="007621E5">
        <w:rPr>
          <w:b/>
          <w:bCs/>
        </w:rPr>
        <w:t xml:space="preserve"> qualité</w:t>
      </w:r>
      <w:r w:rsidRPr="00182D97">
        <w:t xml:space="preserve"> dans </w:t>
      </w:r>
      <w:r w:rsidR="00F74860">
        <w:t>la</w:t>
      </w:r>
      <w:r w:rsidRPr="00182D97">
        <w:t xml:space="preserve"> revue systématique </w:t>
      </w:r>
      <w:r w:rsidR="00F74860">
        <w:t xml:space="preserve">de l’Université de York concernant les bloqueurs de puberté </w:t>
      </w:r>
      <w:r w:rsidRPr="00182D97">
        <w:t xml:space="preserve">(Taylor et al., </w:t>
      </w:r>
      <w:hyperlink r:id="rId66" w:tooltip="Revue systématique bloqueurs de puberté, Taylor et al." w:history="1">
        <w:r w:rsidRPr="006243D2">
          <w:rPr>
            <w:rStyle w:val="Lienhypertexte"/>
          </w:rPr>
          <w:t>2024b</w:t>
        </w:r>
      </w:hyperlink>
      <w:r w:rsidRPr="00182D97">
        <w:t>).</w:t>
      </w:r>
    </w:p>
    <w:p w14:paraId="01073376" w14:textId="77777777" w:rsidR="006D7081" w:rsidRDefault="006D7081" w:rsidP="00182D97"/>
    <w:p w14:paraId="0236C8E6" w14:textId="29D671DA" w:rsidR="006D7081" w:rsidRPr="00D5645E" w:rsidRDefault="00F30C9C" w:rsidP="00F51227">
      <w:pPr>
        <w:pStyle w:val="Titre3"/>
      </w:pPr>
      <w:bookmarkStart w:id="10" w:name="_Toc217928614"/>
      <w:r w:rsidRPr="00D5645E">
        <w:t>2</w:t>
      </w:r>
      <w:r w:rsidR="00B84884" w:rsidRPr="00D5645E">
        <w:t xml:space="preserve">.2. </w:t>
      </w:r>
      <w:r w:rsidR="006D7081" w:rsidRPr="00D5645E">
        <w:t xml:space="preserve">Turban et al. 2020a, </w:t>
      </w:r>
      <w:r w:rsidR="006D7081" w:rsidRPr="00D5645E">
        <w:rPr>
          <w:i/>
          <w:iCs/>
        </w:rPr>
        <w:t xml:space="preserve">JAMA </w:t>
      </w:r>
      <w:proofErr w:type="spellStart"/>
      <w:r w:rsidR="006D7081" w:rsidRPr="00D5645E">
        <w:rPr>
          <w:i/>
          <w:iCs/>
        </w:rPr>
        <w:t>Psychiatry</w:t>
      </w:r>
      <w:bookmarkEnd w:id="10"/>
      <w:proofErr w:type="spellEnd"/>
    </w:p>
    <w:p w14:paraId="186CAA60" w14:textId="7FF3E94F" w:rsidR="00D5645E" w:rsidRDefault="00A9292A" w:rsidP="006D7081">
      <w:pPr>
        <w:rPr>
          <w:lang w:val="en-US"/>
        </w:rPr>
      </w:pPr>
      <w:r w:rsidRPr="00A9292A">
        <w:rPr>
          <w:rFonts w:ascii="Segoe UI Emoji" w:hAnsi="Segoe UI Emoji" w:cs="Segoe UI Emoji"/>
        </w:rPr>
        <w:t>📄</w:t>
      </w:r>
      <w:r w:rsidR="00D5645E">
        <w:rPr>
          <w:lang w:val="en-US"/>
        </w:rPr>
        <w:t xml:space="preserve">Étude </w:t>
      </w:r>
      <w:proofErr w:type="spellStart"/>
      <w:r w:rsidR="00D5645E">
        <w:rPr>
          <w:lang w:val="en-US"/>
        </w:rPr>
        <w:t>transversale</w:t>
      </w:r>
      <w:proofErr w:type="spellEnd"/>
      <w:r w:rsidR="00D5645E">
        <w:rPr>
          <w:lang w:val="en-US"/>
        </w:rPr>
        <w:t xml:space="preserve"> : </w:t>
      </w:r>
      <w:hyperlink r:id="rId67" w:history="1">
        <w:r w:rsidR="00D5645E" w:rsidRPr="00D5645E">
          <w:rPr>
            <w:rStyle w:val="Lienhypertexte"/>
            <w:lang w:val="en-US"/>
          </w:rPr>
          <w:t>Association Between Recalled Exposure to Gender Identity Conversion Efforts and Psychological Distress and Suicide Attempts Among Transgender Adults</w:t>
        </w:r>
      </w:hyperlink>
    </w:p>
    <w:p w14:paraId="19A12ED7" w14:textId="77777777" w:rsidR="00D5645E" w:rsidRPr="00D5645E" w:rsidRDefault="00D5645E" w:rsidP="006D7081">
      <w:pPr>
        <w:rPr>
          <w:lang w:val="en-US"/>
        </w:rPr>
      </w:pPr>
    </w:p>
    <w:p w14:paraId="66524526" w14:textId="36A5CE66" w:rsidR="008637CD" w:rsidRDefault="00A9292A" w:rsidP="006D7081">
      <w:r>
        <w:t>Cette étude s</w:t>
      </w:r>
      <w:r w:rsidR="008637CD">
        <w:t>’appuie sur</w:t>
      </w:r>
      <w:r w:rsidR="006D7081" w:rsidRPr="006D7081">
        <w:t xml:space="preserve"> même enquête en ligne non représentative</w:t>
      </w:r>
      <w:r w:rsidR="00F0346C">
        <w:t>,</w:t>
      </w:r>
      <w:r w:rsidR="006D7081" w:rsidRPr="006D7081">
        <w:t xml:space="preserve"> pour affirmer qu’une exposition rappelée au cours de la vie à des « </w:t>
      </w:r>
      <w:r w:rsidR="006D7081" w:rsidRPr="006D7081">
        <w:rPr>
          <w:i/>
          <w:iCs/>
        </w:rPr>
        <w:t>efforts de conversion de l’identité de genre</w:t>
      </w:r>
      <w:r w:rsidR="006D7081" w:rsidRPr="006D7081">
        <w:t xml:space="preserve"> » </w:t>
      </w:r>
      <w:r w:rsidR="00F0346C">
        <w:t>(</w:t>
      </w:r>
      <w:r w:rsidR="006D7081" w:rsidRPr="006D7081">
        <w:t xml:space="preserve">définis par une </w:t>
      </w:r>
      <w:r w:rsidR="006D7081" w:rsidRPr="006D7081">
        <w:rPr>
          <w:b/>
          <w:bCs/>
        </w:rPr>
        <w:t>seule question de l’enquête</w:t>
      </w:r>
      <w:r w:rsidR="00F0346C">
        <w:t>)</w:t>
      </w:r>
      <w:r w:rsidR="006D7081" w:rsidRPr="006D7081">
        <w:t xml:space="preserve"> était associée à une </w:t>
      </w:r>
      <w:r w:rsidR="006D7081" w:rsidRPr="006D7081">
        <w:rPr>
          <w:b/>
          <w:bCs/>
        </w:rPr>
        <w:t>détresse psychologique sévère au cours du mois précédent et à des probabilités plus élevées de tentatives de suicide</w:t>
      </w:r>
      <w:r w:rsidR="006D7081" w:rsidRPr="006D7081">
        <w:t xml:space="preserve"> rapportées au cours de la vie</w:t>
      </w:r>
      <w:r w:rsidR="00F0346C">
        <w:t xml:space="preserve"> </w:t>
      </w:r>
      <w:r w:rsidR="006D7081" w:rsidRPr="006D7081">
        <w:t xml:space="preserve">: « </w:t>
      </w:r>
      <w:r w:rsidR="006D7081" w:rsidRPr="006D7081">
        <w:rPr>
          <w:i/>
          <w:iCs/>
        </w:rPr>
        <w:t>Ces résultats soutiennent les prises de position de plusieurs organisations professionnelles qui ont découragé cette pratique</w:t>
      </w:r>
      <w:r w:rsidR="006D7081" w:rsidRPr="006D7081">
        <w:t xml:space="preserve">. » </w:t>
      </w:r>
    </w:p>
    <w:p w14:paraId="6158E4D2" w14:textId="43874690" w:rsidR="006D7081" w:rsidRDefault="006D7081" w:rsidP="006D7081">
      <w:r w:rsidRPr="006D7081">
        <w:lastRenderedPageBreak/>
        <w:t xml:space="preserve">Deux des auteurs </w:t>
      </w:r>
      <w:r w:rsidR="00DE0EDC">
        <w:t xml:space="preserve">de l’étude </w:t>
      </w:r>
      <w:r w:rsidRPr="006D7081">
        <w:t xml:space="preserve">ont également publié une tribune intitulée </w:t>
      </w:r>
      <w:r w:rsidRPr="006D7081">
        <w:rPr>
          <w:i/>
          <w:iCs/>
        </w:rPr>
        <w:t xml:space="preserve">« </w:t>
      </w:r>
      <w:proofErr w:type="spellStart"/>
      <w:r w:rsidRPr="006D7081">
        <w:rPr>
          <w:i/>
          <w:iCs/>
        </w:rPr>
        <w:t>It’s</w:t>
      </w:r>
      <w:proofErr w:type="spellEnd"/>
      <w:r w:rsidRPr="006D7081">
        <w:rPr>
          <w:i/>
          <w:iCs/>
        </w:rPr>
        <w:t xml:space="preserve"> time for conversion efforts to </w:t>
      </w:r>
      <w:proofErr w:type="spellStart"/>
      <w:r w:rsidRPr="006D7081">
        <w:rPr>
          <w:i/>
          <w:iCs/>
        </w:rPr>
        <w:t>be</w:t>
      </w:r>
      <w:proofErr w:type="spellEnd"/>
      <w:r w:rsidRPr="006D7081">
        <w:rPr>
          <w:i/>
          <w:iCs/>
        </w:rPr>
        <w:t xml:space="preserve"> </w:t>
      </w:r>
      <w:proofErr w:type="spellStart"/>
      <w:r w:rsidRPr="006D7081">
        <w:rPr>
          <w:i/>
          <w:iCs/>
        </w:rPr>
        <w:t>illegal</w:t>
      </w:r>
      <w:proofErr w:type="spellEnd"/>
      <w:r w:rsidRPr="006D7081">
        <w:rPr>
          <w:i/>
          <w:iCs/>
        </w:rPr>
        <w:t xml:space="preserve"> in </w:t>
      </w:r>
      <w:proofErr w:type="spellStart"/>
      <w:r w:rsidRPr="006D7081">
        <w:rPr>
          <w:i/>
          <w:iCs/>
        </w:rPr>
        <w:t>every</w:t>
      </w:r>
      <w:proofErr w:type="spellEnd"/>
      <w:r w:rsidRPr="006D7081">
        <w:rPr>
          <w:i/>
          <w:iCs/>
        </w:rPr>
        <w:t xml:space="preserve"> state, </w:t>
      </w:r>
      <w:proofErr w:type="spellStart"/>
      <w:r w:rsidRPr="006D7081">
        <w:rPr>
          <w:i/>
          <w:iCs/>
        </w:rPr>
        <w:t>before</w:t>
      </w:r>
      <w:proofErr w:type="spellEnd"/>
      <w:r w:rsidRPr="006D7081">
        <w:rPr>
          <w:i/>
          <w:iCs/>
        </w:rPr>
        <w:t xml:space="preserve"> more people die »</w:t>
      </w:r>
      <w:r w:rsidRPr="006D7081">
        <w:t xml:space="preserve"> (Turban &amp; </w:t>
      </w:r>
      <w:proofErr w:type="spellStart"/>
      <w:r w:rsidRPr="006D7081">
        <w:t>Keuroghlian</w:t>
      </w:r>
      <w:proofErr w:type="spellEnd"/>
      <w:r w:rsidRPr="006D7081">
        <w:t xml:space="preserve">, </w:t>
      </w:r>
      <w:hyperlink r:id="rId68" w:tooltip="The Salt Lake Tribune, It’s time to outlaw conversion efforts ..." w:history="1">
        <w:r w:rsidRPr="006D7081">
          <w:rPr>
            <w:rStyle w:val="Lienhypertexte"/>
          </w:rPr>
          <w:t>2019</w:t>
        </w:r>
      </w:hyperlink>
      <w:r w:rsidRPr="006D7081">
        <w:t>), mettant en avant un lien entre le risque suicidaire et la thérapie de conversion.</w:t>
      </w:r>
    </w:p>
    <w:p w14:paraId="7EEA800C" w14:textId="77777777" w:rsidR="00070096" w:rsidRDefault="00070096" w:rsidP="006D7081"/>
    <w:p w14:paraId="3F34F2A2" w14:textId="59540184" w:rsidR="0053344F" w:rsidRDefault="0053344F" w:rsidP="0094511E">
      <w:r>
        <w:t xml:space="preserve">Dans le climat actuel, « thérapie de conversion » = </w:t>
      </w:r>
      <w:r w:rsidR="006D7081" w:rsidRPr="006D7081">
        <w:t>toute thérapie autre que</w:t>
      </w:r>
      <w:r>
        <w:t xml:space="preserve"> l’affirmation et interventions médicales</w:t>
      </w:r>
      <w:r w:rsidR="0094511E">
        <w:t xml:space="preserve"> (</w:t>
      </w:r>
      <w:proofErr w:type="spellStart"/>
      <w:r w:rsidR="00945D7D">
        <w:t>Gender</w:t>
      </w:r>
      <w:proofErr w:type="spellEnd"/>
      <w:r w:rsidR="00945D7D">
        <w:t xml:space="preserve"> GP</w:t>
      </w:r>
      <w:r w:rsidR="0094511E" w:rsidRPr="0094511E">
        <w:t>,</w:t>
      </w:r>
      <w:r w:rsidR="0094511E">
        <w:t xml:space="preserve"> </w:t>
      </w:r>
      <w:hyperlink r:id="rId69" w:tooltip="Itw de Turban, Gender GP : How Many People Detransition? Exploring Detransition" w:history="1">
        <w:r w:rsidR="0094511E" w:rsidRPr="00945D7D">
          <w:rPr>
            <w:rStyle w:val="Lienhypertexte"/>
          </w:rPr>
          <w:t>2021</w:t>
        </w:r>
      </w:hyperlink>
      <w:r w:rsidR="0094511E" w:rsidRPr="0094511E">
        <w:t>).</w:t>
      </w:r>
    </w:p>
    <w:p w14:paraId="22E37F9E" w14:textId="7676E6DA" w:rsidR="006279A4" w:rsidRDefault="00A9292A" w:rsidP="00B00AD9">
      <w:r w:rsidRPr="007621E5">
        <w:rPr>
          <w:rFonts w:ascii="Segoe UI Symbol" w:hAnsi="Segoe UI Symbol" w:cs="Segoe UI Symbol"/>
          <w:b/>
          <w:bCs/>
        </w:rPr>
        <w:t>➥</w:t>
      </w:r>
      <w:r>
        <w:rPr>
          <w:rFonts w:ascii="Segoe UI Symbol" w:hAnsi="Segoe UI Symbol" w:cs="Segoe UI Symbol"/>
          <w:b/>
          <w:bCs/>
        </w:rPr>
        <w:t xml:space="preserve"> </w:t>
      </w:r>
      <w:r w:rsidR="006D7081" w:rsidRPr="006D7081">
        <w:t xml:space="preserve">Une version plus longue d’une </w:t>
      </w:r>
      <w:r w:rsidR="004C03F6" w:rsidRPr="00CA1B5F">
        <w:rPr>
          <w:b/>
          <w:bCs/>
        </w:rPr>
        <w:t>lettr</w:t>
      </w:r>
      <w:r w:rsidR="006279A4" w:rsidRPr="00CA1B5F">
        <w:rPr>
          <w:b/>
          <w:bCs/>
        </w:rPr>
        <w:t>e</w:t>
      </w:r>
      <w:r w:rsidR="004C03F6" w:rsidRPr="00CA1B5F">
        <w:rPr>
          <w:b/>
          <w:bCs/>
        </w:rPr>
        <w:t xml:space="preserve"> à l’éditeur</w:t>
      </w:r>
      <w:r w:rsidR="006D7081" w:rsidRPr="006D7081">
        <w:t xml:space="preserve"> </w:t>
      </w:r>
      <w:r w:rsidR="006D7081" w:rsidRPr="00DE0EDC">
        <w:rPr>
          <w:b/>
          <w:bCs/>
        </w:rPr>
        <w:t>rejetée</w:t>
      </w:r>
      <w:r w:rsidR="004C03F6">
        <w:t xml:space="preserve"> par </w:t>
      </w:r>
      <w:r w:rsidR="004C03F6" w:rsidRPr="00CB3BB8">
        <w:rPr>
          <w:i/>
          <w:iCs/>
        </w:rPr>
        <w:t xml:space="preserve">JAMA </w:t>
      </w:r>
      <w:proofErr w:type="spellStart"/>
      <w:r w:rsidR="004C03F6" w:rsidRPr="00CB3BB8">
        <w:rPr>
          <w:i/>
          <w:iCs/>
        </w:rPr>
        <w:t>Psychiatry</w:t>
      </w:r>
      <w:proofErr w:type="spellEnd"/>
      <w:r w:rsidR="004E730C">
        <w:t xml:space="preserve"> a été </w:t>
      </w:r>
      <w:r w:rsidR="006D7081" w:rsidRPr="00DE0EDC">
        <w:rPr>
          <w:b/>
          <w:bCs/>
        </w:rPr>
        <w:t xml:space="preserve">publiée </w:t>
      </w:r>
      <w:r w:rsidR="006D7081" w:rsidRPr="006D7081">
        <w:t xml:space="preserve">ultérieurement dans </w:t>
      </w:r>
      <w:r w:rsidR="006D7081" w:rsidRPr="00DE0EDC">
        <w:rPr>
          <w:b/>
          <w:bCs/>
          <w:i/>
          <w:iCs/>
        </w:rPr>
        <w:t xml:space="preserve">Archives of </w:t>
      </w:r>
      <w:proofErr w:type="spellStart"/>
      <w:r w:rsidR="006D7081" w:rsidRPr="00DE0EDC">
        <w:rPr>
          <w:b/>
          <w:bCs/>
          <w:i/>
          <w:iCs/>
        </w:rPr>
        <w:t>Sexual</w:t>
      </w:r>
      <w:proofErr w:type="spellEnd"/>
      <w:r w:rsidR="006D7081" w:rsidRPr="00DE0EDC">
        <w:rPr>
          <w:b/>
          <w:bCs/>
          <w:i/>
          <w:iCs/>
        </w:rPr>
        <w:t xml:space="preserve"> </w:t>
      </w:r>
      <w:proofErr w:type="spellStart"/>
      <w:r w:rsidR="006D7081" w:rsidRPr="00DE0EDC">
        <w:rPr>
          <w:b/>
          <w:bCs/>
          <w:i/>
          <w:iCs/>
        </w:rPr>
        <w:t>Behavior</w:t>
      </w:r>
      <w:proofErr w:type="spellEnd"/>
      <w:r w:rsidR="006D7081" w:rsidRPr="006D7081">
        <w:t xml:space="preserve"> sous le titre </w:t>
      </w:r>
      <w:hyperlink r:id="rId70" w:history="1">
        <w:r w:rsidR="006D7081" w:rsidRPr="006D7081">
          <w:rPr>
            <w:rStyle w:val="Lienhypertexte"/>
          </w:rPr>
          <w:t xml:space="preserve">One Size </w:t>
        </w:r>
        <w:proofErr w:type="spellStart"/>
        <w:r w:rsidR="006D7081" w:rsidRPr="006D7081">
          <w:rPr>
            <w:rStyle w:val="Lienhypertexte"/>
          </w:rPr>
          <w:t>Does</w:t>
        </w:r>
        <w:proofErr w:type="spellEnd"/>
        <w:r w:rsidR="006D7081" w:rsidRPr="006D7081">
          <w:rPr>
            <w:rStyle w:val="Lienhypertexte"/>
          </w:rPr>
          <w:t xml:space="preserve"> Not Fit </w:t>
        </w:r>
        <w:proofErr w:type="gramStart"/>
        <w:r w:rsidR="006D7081" w:rsidRPr="006D7081">
          <w:rPr>
            <w:rStyle w:val="Lienhypertexte"/>
          </w:rPr>
          <w:t>All:</w:t>
        </w:r>
        <w:proofErr w:type="gramEnd"/>
        <w:r w:rsidR="006D7081" w:rsidRPr="006D7081">
          <w:rPr>
            <w:rStyle w:val="Lienhypertexte"/>
          </w:rPr>
          <w:t xml:space="preserve"> In Support of </w:t>
        </w:r>
        <w:proofErr w:type="spellStart"/>
        <w:r w:rsidR="006D7081" w:rsidRPr="006D7081">
          <w:rPr>
            <w:rStyle w:val="Lienhypertexte"/>
          </w:rPr>
          <w:t>Psychotherapy</w:t>
        </w:r>
        <w:proofErr w:type="spellEnd"/>
        <w:r w:rsidR="006D7081" w:rsidRPr="006D7081">
          <w:rPr>
            <w:rStyle w:val="Lienhypertexte"/>
          </w:rPr>
          <w:t xml:space="preserve"> for </w:t>
        </w:r>
        <w:proofErr w:type="spellStart"/>
        <w:r w:rsidR="006D7081" w:rsidRPr="006D7081">
          <w:rPr>
            <w:rStyle w:val="Lienhypertexte"/>
          </w:rPr>
          <w:t>Gender</w:t>
        </w:r>
        <w:proofErr w:type="spellEnd"/>
        <w:r w:rsidR="006D7081" w:rsidRPr="006D7081">
          <w:rPr>
            <w:rStyle w:val="Lienhypertexte"/>
          </w:rPr>
          <w:t xml:space="preserve"> </w:t>
        </w:r>
        <w:proofErr w:type="spellStart"/>
        <w:r w:rsidR="006D7081" w:rsidRPr="006D7081">
          <w:rPr>
            <w:rStyle w:val="Lienhypertexte"/>
          </w:rPr>
          <w:t>Dysphoria</w:t>
        </w:r>
        <w:proofErr w:type="spellEnd"/>
      </w:hyperlink>
      <w:r w:rsidR="00DE0EDC">
        <w:t xml:space="preserve">, </w:t>
      </w:r>
      <w:r w:rsidR="006279A4" w:rsidRPr="006D7081">
        <w:t>D’Angelo et al., 2021.</w:t>
      </w:r>
    </w:p>
    <w:p w14:paraId="665F43C1" w14:textId="3A6FFB59" w:rsidR="00B00AD9" w:rsidRDefault="00B00AD9" w:rsidP="00B00AD9">
      <w:r>
        <w:t xml:space="preserve">Elle </w:t>
      </w:r>
      <w:r w:rsidR="006279A4">
        <w:t xml:space="preserve">y </w:t>
      </w:r>
      <w:r>
        <w:t xml:space="preserve">précise que </w:t>
      </w:r>
      <w:r w:rsidRPr="004669A8">
        <w:rPr>
          <w:b/>
          <w:bCs/>
        </w:rPr>
        <w:t>de nombreux universitaires et professionnels de santé ont écrit une lettre à l’éditeur</w:t>
      </w:r>
      <w:r>
        <w:t>, </w:t>
      </w:r>
      <w:r w:rsidRPr="006D7081">
        <w:t xml:space="preserve">soulignant de </w:t>
      </w:r>
      <w:r w:rsidRPr="006D7081">
        <w:rPr>
          <w:b/>
          <w:bCs/>
        </w:rPr>
        <w:t>graves problèmes méthodologiques</w:t>
      </w:r>
      <w:r w:rsidRPr="006D7081">
        <w:t xml:space="preserve"> dans l’étude</w:t>
      </w:r>
      <w:r>
        <w:t xml:space="preserve">, mais </w:t>
      </w:r>
      <w:r w:rsidR="006279A4">
        <w:t>qu’</w:t>
      </w:r>
      <w:r>
        <w:t xml:space="preserve">elles </w:t>
      </w:r>
      <w:r w:rsidRPr="004669A8">
        <w:rPr>
          <w:b/>
          <w:bCs/>
        </w:rPr>
        <w:t>ont rejetées</w:t>
      </w:r>
      <w:r>
        <w:t xml:space="preserve"> </w:t>
      </w:r>
      <w:r w:rsidRPr="006D7081">
        <w:t>(certaines ayant ensuite été publiées comme commentaires non indexés dans la version en ligne)</w:t>
      </w:r>
      <w:r>
        <w:t>.</w:t>
      </w:r>
    </w:p>
    <w:p w14:paraId="494C5494" w14:textId="77777777" w:rsidR="004E730C" w:rsidRDefault="004E730C" w:rsidP="006D7081"/>
    <w:p w14:paraId="0EE5BB3C" w14:textId="2FF16B6C" w:rsidR="006D198F" w:rsidRDefault="00427DA1" w:rsidP="006D7081">
      <w:r>
        <w:t>Cohn rappelle par ailleurs que :</w:t>
      </w:r>
    </w:p>
    <w:p w14:paraId="27966B91" w14:textId="4615FA12" w:rsidR="004E730C" w:rsidRDefault="006D7081" w:rsidP="00DB6743">
      <w:pPr>
        <w:pStyle w:val="Paragraphedeliste"/>
        <w:numPr>
          <w:ilvl w:val="0"/>
          <w:numId w:val="18"/>
        </w:numPr>
        <w:ind w:left="357" w:hanging="357"/>
      </w:pPr>
      <w:r w:rsidRPr="006D7081">
        <w:t xml:space="preserve">la psychothérapie n’est pas une thérapie de conversion (D’Angelo, </w:t>
      </w:r>
      <w:hyperlink r:id="rId71" w:tooltip="Supporting autonomy in young people with gender dysphoria: Psychotherapy is not conversion therapy" w:history="1">
        <w:r w:rsidRPr="001D6BAC">
          <w:rPr>
            <w:rStyle w:val="Lienhypertexte"/>
          </w:rPr>
          <w:t>2025</w:t>
        </w:r>
      </w:hyperlink>
      <w:r w:rsidR="006125F1">
        <w:t> ;</w:t>
      </w:r>
      <w:r w:rsidR="00C12501">
        <w:t xml:space="preserve"> </w:t>
      </w:r>
      <w:r w:rsidR="00A53D48">
        <w:t>[</w:t>
      </w:r>
      <w:r w:rsidR="006125F1">
        <w:t xml:space="preserve">Cass Review </w:t>
      </w:r>
      <w:hyperlink r:id="rId72" w:tooltip="Independent review of gender identity services for children and young people: Final report" w:history="1">
        <w:r w:rsidR="006125F1">
          <w:rPr>
            <w:rStyle w:val="Lienhypertexte"/>
          </w:rPr>
          <w:t>2024</w:t>
        </w:r>
      </w:hyperlink>
      <w:r w:rsidR="00C12501">
        <w:t xml:space="preserve">, </w:t>
      </w:r>
      <w:r w:rsidR="00C12501" w:rsidRPr="00C12501">
        <w:t>§</w:t>
      </w:r>
      <w:r w:rsidR="00C12501">
        <w:t>11.4 à 11.7</w:t>
      </w:r>
      <w:r w:rsidR="00A53D48">
        <w:t>]</w:t>
      </w:r>
      <w:r w:rsidR="000C1D9A">
        <w:t> ;</w:t>
      </w:r>
      <w:r w:rsidRPr="006D7081">
        <w:t xml:space="preserve"> </w:t>
      </w:r>
    </w:p>
    <w:p w14:paraId="7EC5871A" w14:textId="20EEF0B7" w:rsidR="008B2E04" w:rsidRDefault="006D7081" w:rsidP="00DB6743">
      <w:pPr>
        <w:pStyle w:val="Paragraphedeliste"/>
        <w:numPr>
          <w:ilvl w:val="0"/>
          <w:numId w:val="18"/>
        </w:numPr>
        <w:ind w:left="357" w:hanging="357"/>
      </w:pPr>
      <w:r w:rsidRPr="006D7081">
        <w:t xml:space="preserve">il n’a pas été démontré que les interventions dites « d’affirmation de genre » réduisent le risque de suicide ou que leur absence l’augmente, que ce soit dans des revues systématiques (Baker et al., </w:t>
      </w:r>
      <w:hyperlink r:id="rId73" w:tooltip="Hormone therapy, mental health, and quality of life among transgender people: A systematic review." w:history="1">
        <w:r w:rsidRPr="00853D63">
          <w:rPr>
            <w:rStyle w:val="Lienhypertexte"/>
          </w:rPr>
          <w:t>2021</w:t>
        </w:r>
      </w:hyperlink>
      <w:r w:rsidRPr="006D7081">
        <w:t xml:space="preserve"> ; Christensen et al., </w:t>
      </w:r>
      <w:hyperlink r:id="rId74" w:tooltip="Systematic Review of Interventions to Reduce Suicide Risk in Transgender and Gender Diverse Youth" w:history="1">
        <w:r w:rsidRPr="00C21294">
          <w:rPr>
            <w:rStyle w:val="Lienhypertexte"/>
          </w:rPr>
          <w:t>2025</w:t>
        </w:r>
      </w:hyperlink>
      <w:r w:rsidRPr="006D7081">
        <w:t>) ou dans une récente étude nationale finlandaise fondée sur plusieurs décennies de données de registres (</w:t>
      </w:r>
      <w:proofErr w:type="spellStart"/>
      <w:r w:rsidRPr="006D7081">
        <w:t>Ruuska</w:t>
      </w:r>
      <w:proofErr w:type="spellEnd"/>
      <w:r w:rsidRPr="006D7081">
        <w:t xml:space="preserve"> et al., </w:t>
      </w:r>
      <w:hyperlink r:id="rId75" w:tooltip="All-cause and suicide mortalities among adolescents and young adults who contacted specialised gender identity services in Finland" w:history="1">
        <w:r w:rsidRPr="001C5851">
          <w:rPr>
            <w:rStyle w:val="Lienhypertexte"/>
          </w:rPr>
          <w:t>2024</w:t>
        </w:r>
      </w:hyperlink>
      <w:r w:rsidRPr="006D7081">
        <w:t xml:space="preserve">). </w:t>
      </w:r>
    </w:p>
    <w:p w14:paraId="05A1E92B" w14:textId="77777777" w:rsidR="008B2E04" w:rsidRDefault="008B2E04" w:rsidP="006D7081"/>
    <w:p w14:paraId="472AEC4D" w14:textId="7ADCD9F1" w:rsidR="006D7081" w:rsidRDefault="006D7081" w:rsidP="006D7081">
      <w:r w:rsidRPr="006D7081">
        <w:t>Néanmoins, cet article comptait 234 citations sur Google Scholar fin février 2025.</w:t>
      </w:r>
    </w:p>
    <w:p w14:paraId="2FAD2D28" w14:textId="77777777" w:rsidR="008520D6" w:rsidRDefault="008520D6" w:rsidP="002F5534"/>
    <w:p w14:paraId="489C3BD4" w14:textId="56642CA9" w:rsidR="00367520" w:rsidRPr="00367520" w:rsidRDefault="00F30C9C" w:rsidP="00367520">
      <w:pPr>
        <w:pStyle w:val="Titre3"/>
        <w:rPr>
          <w:lang w:val="en-US"/>
        </w:rPr>
      </w:pPr>
      <w:bookmarkStart w:id="11" w:name="_Toc217928615"/>
      <w:r>
        <w:rPr>
          <w:lang w:val="en-US"/>
        </w:rPr>
        <w:t>2</w:t>
      </w:r>
      <w:r w:rsidR="00B84884">
        <w:rPr>
          <w:lang w:val="en-US"/>
        </w:rPr>
        <w:t xml:space="preserve">.3. </w:t>
      </w:r>
      <w:r w:rsidR="002F5534" w:rsidRPr="00A8751B">
        <w:rPr>
          <w:lang w:val="en-US"/>
        </w:rPr>
        <w:t>McNamara et al.</w:t>
      </w:r>
      <w:r w:rsidR="009A2C56">
        <w:rPr>
          <w:lang w:val="en-US"/>
        </w:rPr>
        <w:t xml:space="preserve"> </w:t>
      </w:r>
      <w:r w:rsidR="002F5534" w:rsidRPr="002F5534">
        <w:rPr>
          <w:lang w:val="en-US"/>
        </w:rPr>
        <w:t>2022</w:t>
      </w:r>
      <w:r w:rsidR="00FE33B9" w:rsidRPr="00F808DF">
        <w:rPr>
          <w:lang w:val="en-US"/>
        </w:rPr>
        <w:t xml:space="preserve">, </w:t>
      </w:r>
      <w:r w:rsidR="00726EEF" w:rsidRPr="00726EEF">
        <w:rPr>
          <w:i/>
          <w:iCs/>
          <w:lang w:val="en-US"/>
        </w:rPr>
        <w:t>New England Journal of Medicine</w:t>
      </w:r>
      <w:bookmarkEnd w:id="11"/>
    </w:p>
    <w:p w14:paraId="7AD687CB" w14:textId="5A625D37" w:rsidR="00367520" w:rsidRPr="00367520" w:rsidRDefault="00FF33EB" w:rsidP="002F5534">
      <w:pPr>
        <w:rPr>
          <w:lang w:val="en-US"/>
        </w:rPr>
      </w:pPr>
      <w:r w:rsidRPr="00A9292A">
        <w:rPr>
          <w:rFonts w:ascii="Segoe UI Emoji" w:hAnsi="Segoe UI Emoji" w:cs="Segoe UI Emoji"/>
        </w:rPr>
        <w:t>📄</w:t>
      </w:r>
      <w:r w:rsidR="00F808DF" w:rsidRPr="00367520">
        <w:rPr>
          <w:lang w:val="en-US"/>
        </w:rPr>
        <w:t>Article</w:t>
      </w:r>
      <w:r w:rsidR="002F5534" w:rsidRPr="00367520">
        <w:rPr>
          <w:lang w:val="en-US"/>
        </w:rPr>
        <w:t xml:space="preserve"> de type </w:t>
      </w:r>
      <w:r w:rsidR="002F5534" w:rsidRPr="00367520">
        <w:rPr>
          <w:i/>
          <w:iCs/>
          <w:lang w:val="en-US"/>
        </w:rPr>
        <w:t>Perspective</w:t>
      </w:r>
      <w:r w:rsidR="00062EC2" w:rsidRPr="00367520">
        <w:rPr>
          <w:lang w:val="en-US"/>
        </w:rPr>
        <w:t xml:space="preserve"> (article </w:t>
      </w:r>
      <w:proofErr w:type="spellStart"/>
      <w:r w:rsidR="00062EC2" w:rsidRPr="00367520">
        <w:rPr>
          <w:lang w:val="en-US"/>
        </w:rPr>
        <w:t>d’opinion</w:t>
      </w:r>
      <w:proofErr w:type="spellEnd"/>
      <w:r w:rsidR="00062EC2" w:rsidRPr="00367520">
        <w:rPr>
          <w:lang w:val="en-US"/>
        </w:rPr>
        <w:t>)</w:t>
      </w:r>
      <w:r w:rsidR="00FD1274" w:rsidRPr="00367520">
        <w:rPr>
          <w:lang w:val="en-US"/>
        </w:rPr>
        <w:t xml:space="preserve"> </w:t>
      </w:r>
      <w:r w:rsidR="00E2768B">
        <w:rPr>
          <w:lang w:val="en-US"/>
        </w:rPr>
        <w:t xml:space="preserve">: </w:t>
      </w:r>
      <w:hyperlink r:id="rId76" w:history="1">
        <w:r w:rsidR="00367520" w:rsidRPr="002F5534">
          <w:rPr>
            <w:rStyle w:val="Lienhypertexte"/>
            <w:lang w:val="en-US"/>
          </w:rPr>
          <w:t>Protecting Transgender Health and Challenging Science Denialism in Policy</w:t>
        </w:r>
      </w:hyperlink>
    </w:p>
    <w:p w14:paraId="2E490A6C" w14:textId="77777777" w:rsidR="00367520" w:rsidRPr="00367520" w:rsidRDefault="00367520" w:rsidP="002F5534">
      <w:pPr>
        <w:rPr>
          <w:lang w:val="en-US"/>
        </w:rPr>
      </w:pPr>
    </w:p>
    <w:p w14:paraId="03FC2A8E" w14:textId="2CB019B2" w:rsidR="00FD1274" w:rsidRDefault="00FD1274" w:rsidP="002F5534">
      <w:r>
        <w:t xml:space="preserve">Selon les auteurs : </w:t>
      </w:r>
    </w:p>
    <w:p w14:paraId="06FBD125" w14:textId="0A86FD2E" w:rsidR="00154DF9" w:rsidRDefault="00947BE9" w:rsidP="00DB6743">
      <w:pPr>
        <w:pStyle w:val="Paragraphedeliste"/>
        <w:numPr>
          <w:ilvl w:val="0"/>
          <w:numId w:val="18"/>
        </w:numPr>
        <w:ind w:left="357" w:hanging="357"/>
      </w:pPr>
      <w:r w:rsidRPr="00FE4D8B">
        <w:rPr>
          <w:b/>
          <w:bCs/>
        </w:rPr>
        <w:t>des bénéfices sont déjà démontrés</w:t>
      </w:r>
      <w:r w:rsidRPr="00947BE9">
        <w:t>, sur la base d’associations observées</w:t>
      </w:r>
      <w:r w:rsidR="00154DF9">
        <w:t xml:space="preserve"> ; ils en </w:t>
      </w:r>
      <w:r w:rsidRPr="00947BE9">
        <w:t>déduisent qu’il n’existerait plus d’</w:t>
      </w:r>
      <w:proofErr w:type="spellStart"/>
      <w:r w:rsidR="00FE4D8B">
        <w:fldChar w:fldCharType="begin"/>
      </w:r>
      <w:r w:rsidR="00FE4D8B">
        <w:instrText>HYPERLINK "https://www.culture.fr/franceterme/terme/SANT262" \o "absence de certitude établie sur le bénéfice net d’un traitement."</w:instrText>
      </w:r>
      <w:r w:rsidR="00FE4D8B">
        <w:fldChar w:fldCharType="separate"/>
      </w:r>
      <w:r w:rsidRPr="00FE4D8B">
        <w:rPr>
          <w:rStyle w:val="Lienhypertexte"/>
        </w:rPr>
        <w:t>équipoise</w:t>
      </w:r>
      <w:proofErr w:type="spellEnd"/>
      <w:r w:rsidRPr="00FE4D8B">
        <w:rPr>
          <w:rStyle w:val="Lienhypertexte"/>
        </w:rPr>
        <w:t xml:space="preserve"> clinique</w:t>
      </w:r>
      <w:r w:rsidR="00FE4D8B">
        <w:fldChar w:fldCharType="end"/>
      </w:r>
      <w:r w:rsidRPr="00947BE9">
        <w:t xml:space="preserve">, rendant selon eux </w:t>
      </w:r>
      <w:r w:rsidRPr="00FE4D8B">
        <w:rPr>
          <w:b/>
          <w:bCs/>
        </w:rPr>
        <w:t xml:space="preserve">un </w:t>
      </w:r>
      <w:r w:rsidR="00154DF9" w:rsidRPr="00FE4D8B">
        <w:rPr>
          <w:b/>
          <w:bCs/>
        </w:rPr>
        <w:t xml:space="preserve">Essai </w:t>
      </w:r>
      <w:proofErr w:type="spellStart"/>
      <w:r w:rsidR="00154DF9" w:rsidRPr="00FE4D8B">
        <w:rPr>
          <w:b/>
          <w:bCs/>
        </w:rPr>
        <w:t>Contôlé</w:t>
      </w:r>
      <w:proofErr w:type="spellEnd"/>
      <w:r w:rsidR="00154DF9" w:rsidRPr="00FE4D8B">
        <w:rPr>
          <w:b/>
          <w:bCs/>
        </w:rPr>
        <w:t xml:space="preserve"> Randomisé</w:t>
      </w:r>
      <w:r w:rsidRPr="00FE4D8B">
        <w:rPr>
          <w:b/>
          <w:bCs/>
        </w:rPr>
        <w:t xml:space="preserve"> contraire à l’éthique.</w:t>
      </w:r>
    </w:p>
    <w:p w14:paraId="21EAC689" w14:textId="0EA5BACC" w:rsidR="00FD1274" w:rsidRDefault="002F5534" w:rsidP="00DB6743">
      <w:pPr>
        <w:pStyle w:val="Paragraphedeliste"/>
        <w:numPr>
          <w:ilvl w:val="0"/>
          <w:numId w:val="18"/>
        </w:numPr>
        <w:ind w:left="357" w:hanging="357"/>
      </w:pPr>
      <w:r w:rsidRPr="00D507E0">
        <w:rPr>
          <w:i/>
          <w:iCs/>
        </w:rPr>
        <w:t xml:space="preserve">« les études portant sur des personnes ayant suivi une transition médicale ont généralement trouvé des </w:t>
      </w:r>
      <w:r w:rsidRPr="00FE4D8B">
        <w:rPr>
          <w:b/>
          <w:bCs/>
          <w:i/>
          <w:iCs/>
        </w:rPr>
        <w:t>taux de regret inférieurs à 1 %</w:t>
      </w:r>
      <w:r w:rsidRPr="002F5534">
        <w:t xml:space="preserve"> », sans préciser que ces études étaient peu fiables ; </w:t>
      </w:r>
    </w:p>
    <w:p w14:paraId="5B6F6D5C" w14:textId="6C531890" w:rsidR="001038F5" w:rsidRDefault="002F5534" w:rsidP="00DB6743">
      <w:pPr>
        <w:pStyle w:val="Paragraphedeliste"/>
        <w:numPr>
          <w:ilvl w:val="0"/>
          <w:numId w:val="18"/>
        </w:numPr>
        <w:ind w:left="357" w:hanging="357"/>
      </w:pPr>
      <w:r w:rsidRPr="002F5534">
        <w:t xml:space="preserve">les bloqueurs de puberté </w:t>
      </w:r>
      <w:r w:rsidR="00FD1274">
        <w:t>sont</w:t>
      </w:r>
      <w:r w:rsidRPr="002F5534">
        <w:t xml:space="preserve"> sûrs</w:t>
      </w:r>
      <w:r w:rsidR="00FF33EB">
        <w:t>.</w:t>
      </w:r>
    </w:p>
    <w:p w14:paraId="056F4C4A" w14:textId="77777777" w:rsidR="001038F5" w:rsidRDefault="001038F5" w:rsidP="002F5534"/>
    <w:p w14:paraId="7126FA59" w14:textId="78794882" w:rsidR="00647037" w:rsidRDefault="00FF33EB" w:rsidP="002F5534">
      <w:r w:rsidRPr="007621E5">
        <w:rPr>
          <w:rFonts w:ascii="Segoe UI Symbol" w:hAnsi="Segoe UI Symbol" w:cs="Segoe UI Symbol"/>
          <w:b/>
          <w:bCs/>
        </w:rPr>
        <w:t>➥</w:t>
      </w:r>
      <w:r>
        <w:rPr>
          <w:rFonts w:ascii="Segoe UI Symbol" w:hAnsi="Segoe UI Symbol" w:cs="Segoe UI Symbol"/>
          <w:b/>
          <w:bCs/>
        </w:rPr>
        <w:t xml:space="preserve"> </w:t>
      </w:r>
      <w:r w:rsidR="001038F5">
        <w:t xml:space="preserve">Cohn a </w:t>
      </w:r>
      <w:r w:rsidR="00D507E0">
        <w:t>soumis au journal une</w:t>
      </w:r>
      <w:r w:rsidR="00D507E0" w:rsidRPr="00384882">
        <w:t> </w:t>
      </w:r>
      <w:r w:rsidR="00012416" w:rsidRPr="00012416">
        <w:rPr>
          <w:b/>
          <w:bCs/>
        </w:rPr>
        <w:t>l</w:t>
      </w:r>
      <w:r w:rsidR="00D507E0" w:rsidRPr="00FE4D8B">
        <w:rPr>
          <w:b/>
          <w:bCs/>
        </w:rPr>
        <w:t>ettre à l’éditeur</w:t>
      </w:r>
      <w:r w:rsidR="00384882" w:rsidRPr="00384882">
        <w:t xml:space="preserve"> (LTE)</w:t>
      </w:r>
      <w:r w:rsidR="00D507E0">
        <w:rPr>
          <w:i/>
          <w:iCs/>
        </w:rPr>
        <w:t xml:space="preserve"> </w:t>
      </w:r>
      <w:r w:rsidR="002F5534" w:rsidRPr="002F5534">
        <w:t>signalant ces affirmations trompeuses ou insuffisamment étayées</w:t>
      </w:r>
      <w:r w:rsidR="00FA4CDB">
        <w:t xml:space="preserve"> </w:t>
      </w:r>
      <w:r w:rsidR="002F5534" w:rsidRPr="002F5534">
        <w:t>(</w:t>
      </w:r>
      <w:r w:rsidR="00FA5A8A">
        <w:t xml:space="preserve">voir </w:t>
      </w:r>
      <w:r w:rsidR="002F5534" w:rsidRPr="002F5534">
        <w:t xml:space="preserve">la lettre en </w:t>
      </w:r>
      <w:hyperlink r:id="rId77" w:history="1">
        <w:r w:rsidR="002F5534" w:rsidRPr="002F5534">
          <w:rPr>
            <w:rStyle w:val="Lienhypertexte"/>
          </w:rPr>
          <w:t>annexe A</w:t>
        </w:r>
      </w:hyperlink>
      <w:r w:rsidR="002F5534" w:rsidRPr="002F5534">
        <w:t>)</w:t>
      </w:r>
      <w:r w:rsidR="00397378">
        <w:t xml:space="preserve">. N’ayant droit qu’à 5 références, il a </w:t>
      </w:r>
      <w:r w:rsidR="00397378" w:rsidRPr="00012416">
        <w:rPr>
          <w:b/>
          <w:bCs/>
        </w:rPr>
        <w:t>cité une « </w:t>
      </w:r>
      <w:proofErr w:type="spellStart"/>
      <w:r w:rsidR="00397378" w:rsidRPr="00012416">
        <w:rPr>
          <w:b/>
          <w:bCs/>
          <w:i/>
          <w:iCs/>
        </w:rPr>
        <w:t>umbrella</w:t>
      </w:r>
      <w:proofErr w:type="spellEnd"/>
      <w:r w:rsidR="00397378" w:rsidRPr="00012416">
        <w:rPr>
          <w:b/>
          <w:bCs/>
          <w:i/>
          <w:iCs/>
        </w:rPr>
        <w:t xml:space="preserve"> </w:t>
      </w:r>
      <w:proofErr w:type="spellStart"/>
      <w:r w:rsidR="00397378" w:rsidRPr="002F5534">
        <w:rPr>
          <w:b/>
          <w:bCs/>
          <w:i/>
          <w:iCs/>
        </w:rPr>
        <w:t>rev</w:t>
      </w:r>
      <w:r w:rsidR="00397378" w:rsidRPr="00012416">
        <w:rPr>
          <w:b/>
          <w:bCs/>
          <w:i/>
          <w:iCs/>
        </w:rPr>
        <w:t>iew</w:t>
      </w:r>
      <w:proofErr w:type="spellEnd"/>
      <w:r w:rsidR="00397378" w:rsidRPr="00012416">
        <w:rPr>
          <w:b/>
          <w:bCs/>
        </w:rPr>
        <w:t> »</w:t>
      </w:r>
      <w:r w:rsidR="00397378">
        <w:t xml:space="preserve"> </w:t>
      </w:r>
      <w:r w:rsidR="00CA1B5F">
        <w:t>(</w:t>
      </w:r>
      <w:r w:rsidR="00397378">
        <w:t>évaluation de revues systématiques</w:t>
      </w:r>
      <w:r w:rsidR="00CA1B5F">
        <w:t xml:space="preserve">) </w:t>
      </w:r>
      <w:r w:rsidR="00FA5A8A">
        <w:t>commandée par</w:t>
      </w:r>
      <w:r w:rsidR="00D92463">
        <w:t xml:space="preserve"> </w:t>
      </w:r>
      <w:r w:rsidR="00D92463" w:rsidRPr="00A15537">
        <w:rPr>
          <w:i/>
          <w:iCs/>
        </w:rPr>
        <w:t>Florida Agency for Health Care Administration</w:t>
      </w:r>
      <w:r w:rsidR="00FA5A8A">
        <w:t xml:space="preserve"> </w:t>
      </w:r>
      <w:r w:rsidR="00397378" w:rsidRPr="002F5534">
        <w:t xml:space="preserve"> </w:t>
      </w:r>
      <w:r w:rsidR="00397378">
        <w:t>(</w:t>
      </w:r>
      <w:proofErr w:type="spellStart"/>
      <w:r w:rsidR="00397378" w:rsidRPr="002F5534">
        <w:t>Brignardello</w:t>
      </w:r>
      <w:proofErr w:type="spellEnd"/>
      <w:r w:rsidR="00397378" w:rsidRPr="002F5534">
        <w:t xml:space="preserve">-Petersen &amp; </w:t>
      </w:r>
      <w:proofErr w:type="spellStart"/>
      <w:r w:rsidR="00397378" w:rsidRPr="002F5534">
        <w:t>Wiercioch</w:t>
      </w:r>
      <w:proofErr w:type="spellEnd"/>
      <w:r w:rsidR="00397378" w:rsidRPr="002F5534">
        <w:t xml:space="preserve">, </w:t>
      </w:r>
      <w:hyperlink r:id="rId78" w:tooltip="Effects of gender affirming therapies in people with gender dysphoria: Evaluation of the best available evidence." w:history="1">
        <w:r w:rsidR="00397378" w:rsidRPr="002F5534">
          <w:rPr>
            <w:rStyle w:val="Lienhypertexte"/>
          </w:rPr>
          <w:t>2022</w:t>
        </w:r>
      </w:hyperlink>
      <w:r w:rsidR="00397378">
        <w:t>)</w:t>
      </w:r>
      <w:r w:rsidR="00A15537">
        <w:t xml:space="preserve"> ; cette « revue des </w:t>
      </w:r>
      <w:r w:rsidR="00A15537">
        <w:lastRenderedPageBreak/>
        <w:t xml:space="preserve">revue » </w:t>
      </w:r>
      <w:r w:rsidR="00A53D48">
        <w:t xml:space="preserve">lui semblait crédible car </w:t>
      </w:r>
      <w:r w:rsidR="00A15537">
        <w:t xml:space="preserve">était </w:t>
      </w:r>
      <w:r w:rsidR="00397378" w:rsidRPr="002F5534">
        <w:t>dirigée par un</w:t>
      </w:r>
      <w:r w:rsidR="00D92463">
        <w:t>e</w:t>
      </w:r>
      <w:r w:rsidR="00397378" w:rsidRPr="002F5534">
        <w:t xml:space="preserve"> professeur</w:t>
      </w:r>
      <w:r w:rsidR="00D92463">
        <w:t>e</w:t>
      </w:r>
      <w:r w:rsidR="00397378" w:rsidRPr="002F5534">
        <w:t xml:space="preserve"> d</w:t>
      </w:r>
      <w:r w:rsidR="00397378">
        <w:t>e l’université</w:t>
      </w:r>
      <w:r w:rsidR="00397378" w:rsidRPr="002F5534">
        <w:t xml:space="preserve"> McMaster</w:t>
      </w:r>
      <w:r w:rsidR="00397378">
        <w:t xml:space="preserve">, </w:t>
      </w:r>
      <w:r w:rsidR="00397378" w:rsidRPr="00012416">
        <w:rPr>
          <w:b/>
          <w:bCs/>
        </w:rPr>
        <w:t>bastion de l’Evidence-</w:t>
      </w:r>
      <w:proofErr w:type="spellStart"/>
      <w:r w:rsidR="00397378" w:rsidRPr="00012416">
        <w:rPr>
          <w:b/>
          <w:bCs/>
        </w:rPr>
        <w:t>Based</w:t>
      </w:r>
      <w:proofErr w:type="spellEnd"/>
      <w:r w:rsidR="00397378" w:rsidRPr="00012416">
        <w:rPr>
          <w:b/>
          <w:bCs/>
        </w:rPr>
        <w:t xml:space="preserve"> </w:t>
      </w:r>
      <w:proofErr w:type="spellStart"/>
      <w:r w:rsidR="00397378" w:rsidRPr="00012416">
        <w:rPr>
          <w:b/>
          <w:bCs/>
        </w:rPr>
        <w:t>Medicine</w:t>
      </w:r>
      <w:proofErr w:type="spellEnd"/>
      <w:r w:rsidR="00D92463">
        <w:t>.</w:t>
      </w:r>
    </w:p>
    <w:p w14:paraId="5DC97750" w14:textId="77777777" w:rsidR="00397378" w:rsidRDefault="00397378" w:rsidP="002F5534"/>
    <w:p w14:paraId="57E1E62D" w14:textId="377EF5B5" w:rsidR="000728BF" w:rsidRPr="00A15537" w:rsidRDefault="00A53D48" w:rsidP="002F5534">
      <w:pPr>
        <w:rPr>
          <w:b/>
          <w:bCs/>
        </w:rPr>
      </w:pPr>
      <w:r>
        <w:rPr>
          <w:b/>
          <w:bCs/>
        </w:rPr>
        <w:t>Pourtant, r</w:t>
      </w:r>
      <w:r w:rsidR="00062EC2" w:rsidRPr="00A15537">
        <w:rPr>
          <w:b/>
          <w:bCs/>
        </w:rPr>
        <w:t>ejet de cette lettre au</w:t>
      </w:r>
      <w:r w:rsidR="000728BF" w:rsidRPr="00A15537">
        <w:rPr>
          <w:b/>
          <w:bCs/>
        </w:rPr>
        <w:t>x</w:t>
      </w:r>
      <w:r w:rsidR="00062EC2" w:rsidRPr="00A15537">
        <w:rPr>
          <w:b/>
          <w:bCs/>
        </w:rPr>
        <w:t xml:space="preserve"> mo</w:t>
      </w:r>
      <w:r w:rsidR="00647037" w:rsidRPr="00A15537">
        <w:rPr>
          <w:b/>
          <w:bCs/>
        </w:rPr>
        <w:t>tif</w:t>
      </w:r>
      <w:r w:rsidR="000728BF" w:rsidRPr="00A15537">
        <w:rPr>
          <w:b/>
          <w:bCs/>
        </w:rPr>
        <w:t>s</w:t>
      </w:r>
      <w:r w:rsidR="00647037" w:rsidRPr="00A15537">
        <w:rPr>
          <w:b/>
          <w:bCs/>
        </w:rPr>
        <w:t xml:space="preserve"> : </w:t>
      </w:r>
    </w:p>
    <w:p w14:paraId="214536AB" w14:textId="6C962A4E" w:rsidR="00062EC2" w:rsidRDefault="002F5534" w:rsidP="00EA052B">
      <w:pPr>
        <w:pStyle w:val="Paragraphedeliste"/>
        <w:numPr>
          <w:ilvl w:val="0"/>
          <w:numId w:val="18"/>
        </w:numPr>
        <w:ind w:left="357" w:hanging="357"/>
      </w:pPr>
      <w:r w:rsidRPr="002F5534">
        <w:t xml:space="preserve">les articles d’opinion </w:t>
      </w:r>
      <w:r w:rsidR="00062EC2" w:rsidRPr="002F5534">
        <w:t>bénéfic</w:t>
      </w:r>
      <w:r w:rsidR="00062EC2">
        <w:t>i</w:t>
      </w:r>
      <w:r w:rsidR="00062EC2" w:rsidRPr="002F5534">
        <w:t>ent</w:t>
      </w:r>
      <w:r w:rsidRPr="002F5534">
        <w:t xml:space="preserve"> d’une certaine latitude, </w:t>
      </w:r>
    </w:p>
    <w:p w14:paraId="608D4D3B" w14:textId="77777777" w:rsidR="00A15537" w:rsidRDefault="002F5534" w:rsidP="00DB6743">
      <w:pPr>
        <w:pStyle w:val="Paragraphedeliste"/>
        <w:numPr>
          <w:ilvl w:val="0"/>
          <w:numId w:val="18"/>
        </w:numPr>
        <w:ind w:left="357" w:hanging="357"/>
      </w:pPr>
      <w:r w:rsidRPr="002F5534">
        <w:t xml:space="preserve">très peu de confiance dans la </w:t>
      </w:r>
      <w:r w:rsidR="00A1075B">
        <w:t>« </w:t>
      </w:r>
      <w:proofErr w:type="spellStart"/>
      <w:r w:rsidR="00A1075B" w:rsidRPr="00A15537">
        <w:rPr>
          <w:i/>
          <w:iCs/>
        </w:rPr>
        <w:t>umbrella</w:t>
      </w:r>
      <w:proofErr w:type="spellEnd"/>
      <w:r w:rsidR="00A1075B" w:rsidRPr="00A15537">
        <w:rPr>
          <w:i/>
          <w:iCs/>
        </w:rPr>
        <w:t xml:space="preserve"> </w:t>
      </w:r>
      <w:proofErr w:type="spellStart"/>
      <w:r w:rsidRPr="00A15537">
        <w:rPr>
          <w:i/>
          <w:iCs/>
        </w:rPr>
        <w:t>rev</w:t>
      </w:r>
      <w:r w:rsidR="00A1075B" w:rsidRPr="00A15537">
        <w:rPr>
          <w:i/>
          <w:iCs/>
        </w:rPr>
        <w:t>iew</w:t>
      </w:r>
      <w:proofErr w:type="spellEnd"/>
      <w:r w:rsidR="00A1075B">
        <w:t xml:space="preserve"> » </w:t>
      </w:r>
      <w:r w:rsidRPr="002F5534">
        <w:t xml:space="preserve">citée, </w:t>
      </w:r>
      <w:r w:rsidR="000728BF">
        <w:t>car</w:t>
      </w:r>
      <w:r w:rsidR="00A15537">
        <w:t xml:space="preserve"> : </w:t>
      </w:r>
    </w:p>
    <w:p w14:paraId="0BDAF6EA" w14:textId="4B17616E" w:rsidR="00A15537" w:rsidRPr="00012416" w:rsidRDefault="000728BF" w:rsidP="00A8751B">
      <w:pPr>
        <w:pStyle w:val="Paragraphedeliste"/>
        <w:numPr>
          <w:ilvl w:val="0"/>
          <w:numId w:val="16"/>
        </w:numPr>
        <w:ind w:left="714" w:hanging="357"/>
        <w:rPr>
          <w:b/>
          <w:bCs/>
        </w:rPr>
      </w:pPr>
      <w:r>
        <w:t xml:space="preserve"> </w:t>
      </w:r>
      <w:r w:rsidR="00E336CB">
        <w:t xml:space="preserve">les </w:t>
      </w:r>
      <w:r w:rsidR="00E336CB" w:rsidRPr="00012416">
        <w:rPr>
          <w:b/>
          <w:bCs/>
        </w:rPr>
        <w:t>conclusions sont en désaccord avec les recommandations des sociétés médicales</w:t>
      </w:r>
      <w:r w:rsidR="007A0A2D">
        <w:rPr>
          <w:b/>
          <w:bCs/>
        </w:rPr>
        <w:t> ;</w:t>
      </w:r>
    </w:p>
    <w:p w14:paraId="5483D847" w14:textId="5911684B" w:rsidR="00E336CB" w:rsidRDefault="00E336CB" w:rsidP="00A8751B">
      <w:pPr>
        <w:pStyle w:val="Paragraphedeliste"/>
        <w:numPr>
          <w:ilvl w:val="0"/>
          <w:numId w:val="16"/>
        </w:numPr>
        <w:ind w:left="714" w:hanging="357"/>
      </w:pPr>
      <w:r>
        <w:t xml:space="preserve">elle est </w:t>
      </w:r>
      <w:r w:rsidR="000728BF" w:rsidRPr="00012416">
        <w:rPr>
          <w:b/>
          <w:bCs/>
        </w:rPr>
        <w:t xml:space="preserve">non </w:t>
      </w:r>
      <w:r w:rsidR="002F5534" w:rsidRPr="00012416">
        <w:rPr>
          <w:b/>
          <w:bCs/>
        </w:rPr>
        <w:t>évaluée par les pairs</w:t>
      </w:r>
      <w:r>
        <w:t>.</w:t>
      </w:r>
    </w:p>
    <w:p w14:paraId="620FEBEA" w14:textId="77777777" w:rsidR="00351D13" w:rsidRDefault="00351D13" w:rsidP="002F5534">
      <w:pPr>
        <w:rPr>
          <w:b/>
          <w:bCs/>
        </w:rPr>
      </w:pPr>
    </w:p>
    <w:p w14:paraId="74172DC5" w14:textId="599D5FB3" w:rsidR="00F1388F" w:rsidRDefault="00A53D48" w:rsidP="002F5534">
      <w:r>
        <w:rPr>
          <w:b/>
          <w:bCs/>
        </w:rPr>
        <w:t xml:space="preserve">Or </w:t>
      </w:r>
      <w:r w:rsidR="00923FE6" w:rsidRPr="00F1388F">
        <w:rPr>
          <w:b/>
          <w:bCs/>
        </w:rPr>
        <w:t>:</w:t>
      </w:r>
      <w:r w:rsidR="002F5534" w:rsidRPr="002F5534">
        <w:t xml:space="preserve"> l’article </w:t>
      </w:r>
      <w:r w:rsidR="002F5534" w:rsidRPr="002F5534">
        <w:rPr>
          <w:i/>
          <w:iCs/>
        </w:rPr>
        <w:t>Perspective</w:t>
      </w:r>
      <w:r w:rsidR="002F5534" w:rsidRPr="002F5534">
        <w:t xml:space="preserve"> du </w:t>
      </w:r>
      <w:r w:rsidR="002F5534" w:rsidRPr="002F5534">
        <w:rPr>
          <w:i/>
          <w:iCs/>
        </w:rPr>
        <w:t>NEJM</w:t>
      </w:r>
      <w:r w:rsidR="002F5534" w:rsidRPr="002F5534">
        <w:t xml:space="preserve"> cit</w:t>
      </w:r>
      <w:r w:rsidR="00923FE6">
        <w:t>e</w:t>
      </w:r>
      <w:r w:rsidR="002F5534" w:rsidRPr="002F5534">
        <w:t xml:space="preserve"> lui-même deux livres blancs </w:t>
      </w:r>
      <w:r w:rsidR="002F5534" w:rsidRPr="002F5534">
        <w:rPr>
          <w:b/>
          <w:bCs/>
        </w:rPr>
        <w:t xml:space="preserve">non </w:t>
      </w:r>
      <w:r w:rsidR="00E336CB" w:rsidRPr="00F1388F">
        <w:rPr>
          <w:b/>
          <w:bCs/>
        </w:rPr>
        <w:t>évalués par les pairs</w:t>
      </w:r>
      <w:r w:rsidR="00E336CB">
        <w:t>,</w:t>
      </w:r>
      <w:r w:rsidR="002F5534" w:rsidRPr="002F5534">
        <w:t xml:space="preserve"> hébergés sur un site de l’université Yale (</w:t>
      </w:r>
      <w:r w:rsidR="002F5534" w:rsidRPr="002F5534">
        <w:rPr>
          <w:i/>
          <w:iCs/>
        </w:rPr>
        <w:t xml:space="preserve">The Yale </w:t>
      </w:r>
      <w:proofErr w:type="spellStart"/>
      <w:r w:rsidR="002F5534" w:rsidRPr="002F5534">
        <w:rPr>
          <w:i/>
          <w:iCs/>
        </w:rPr>
        <w:t>Integrity</w:t>
      </w:r>
      <w:proofErr w:type="spellEnd"/>
      <w:r w:rsidR="002F5534" w:rsidRPr="002F5534">
        <w:rPr>
          <w:i/>
          <w:iCs/>
        </w:rPr>
        <w:t xml:space="preserve"> Project</w:t>
      </w:r>
      <w:r w:rsidR="002F5534" w:rsidRPr="002F5534">
        <w:t xml:space="preserve">) pour étayer nombre de ses affirmations trompeuses ou non étayées. </w:t>
      </w:r>
    </w:p>
    <w:p w14:paraId="0859272E" w14:textId="3D978B9F" w:rsidR="00D90DE8" w:rsidRDefault="00F1388F" w:rsidP="002F5534">
      <w:r>
        <w:t>→ Le journal a</w:t>
      </w:r>
      <w:r w:rsidR="007A0A2D">
        <w:t xml:space="preserve"> donc</w:t>
      </w:r>
      <w:r>
        <w:t xml:space="preserve"> </w:t>
      </w:r>
      <w:r w:rsidRPr="00012416">
        <w:rPr>
          <w:b/>
          <w:bCs/>
        </w:rPr>
        <w:t xml:space="preserve">priorisé </w:t>
      </w:r>
      <w:r w:rsidR="002F5534" w:rsidRPr="002F5534">
        <w:rPr>
          <w:b/>
          <w:bCs/>
        </w:rPr>
        <w:t>l’opinion d’experts au détriment d’une revue systématique</w:t>
      </w:r>
      <w:r w:rsidR="002F5534" w:rsidRPr="002F5534">
        <w:t xml:space="preserve">, en contradiction avec un principe fondamental de la médecine fondée sur les preuves. </w:t>
      </w:r>
    </w:p>
    <w:p w14:paraId="60464DF9" w14:textId="77777777" w:rsidR="00D92463" w:rsidRPr="002F5534" w:rsidRDefault="00D92463" w:rsidP="002F5534"/>
    <w:p w14:paraId="31025956" w14:textId="327857E9" w:rsidR="00662130" w:rsidRDefault="002F5534" w:rsidP="002F5534">
      <w:r w:rsidRPr="002F5534">
        <w:t>Depuis</w:t>
      </w:r>
      <w:r w:rsidR="009F3BAF">
        <w:t xml:space="preserve"> : </w:t>
      </w:r>
      <w:r w:rsidRPr="002F5534">
        <w:t>de nombreuses autres revues systématiques ont été publiées (</w:t>
      </w:r>
      <w:r w:rsidR="009F3BAF">
        <w:t>voir la list</w:t>
      </w:r>
      <w:r w:rsidR="0030020F">
        <w:t>e</w:t>
      </w:r>
      <w:r w:rsidR="009F3BAF">
        <w:t xml:space="preserve"> dans le tableau 3 de </w:t>
      </w:r>
      <w:proofErr w:type="spellStart"/>
      <w:r w:rsidRPr="002F5534">
        <w:t>McDeavitt</w:t>
      </w:r>
      <w:proofErr w:type="spellEnd"/>
      <w:r w:rsidRPr="002F5534">
        <w:t xml:space="preserve"> et al., </w:t>
      </w:r>
      <w:hyperlink r:id="rId79" w:tooltip="Pediatric gender affirming care is not evidence-based" w:history="1">
        <w:r w:rsidRPr="002F5534">
          <w:rPr>
            <w:rStyle w:val="Lienhypertexte"/>
          </w:rPr>
          <w:t>2025a</w:t>
        </w:r>
      </w:hyperlink>
      <w:r w:rsidR="003A780E">
        <w:t xml:space="preserve">, et le chapitre 5 du rapport </w:t>
      </w:r>
      <w:r w:rsidR="008E7C40">
        <w:t>« </w:t>
      </w:r>
      <w:proofErr w:type="spellStart"/>
      <w:r w:rsidR="00BA54CF">
        <w:rPr>
          <w:i/>
          <w:iCs/>
        </w:rPr>
        <w:fldChar w:fldCharType="begin"/>
      </w:r>
      <w:r w:rsidR="00BA54CF">
        <w:rPr>
          <w:i/>
          <w:iCs/>
        </w:rPr>
        <w:instrText>HYPERLINK "https://opa.hhs.gov/sites/default/files/2025-11/gender-dysphoria-report.pdf" \o "rapport publié par le US Department of Health and Human Services en 2025"</w:instrText>
      </w:r>
      <w:r w:rsidR="00BA54CF">
        <w:rPr>
          <w:i/>
          <w:iCs/>
        </w:rPr>
      </w:r>
      <w:r w:rsidR="00BA54CF">
        <w:rPr>
          <w:i/>
          <w:iCs/>
        </w:rPr>
        <w:fldChar w:fldCharType="separate"/>
      </w:r>
      <w:r w:rsidR="008E7C40" w:rsidRPr="00BA54CF">
        <w:rPr>
          <w:rStyle w:val="Lienhypertexte"/>
          <w:i/>
          <w:iCs/>
        </w:rPr>
        <w:t>Treatment</w:t>
      </w:r>
      <w:proofErr w:type="spellEnd"/>
      <w:r w:rsidR="008E7C40" w:rsidRPr="00BA54CF">
        <w:rPr>
          <w:rStyle w:val="Lienhypertexte"/>
          <w:i/>
          <w:iCs/>
        </w:rPr>
        <w:t xml:space="preserve"> for </w:t>
      </w:r>
      <w:proofErr w:type="spellStart"/>
      <w:r w:rsidR="008E7C40" w:rsidRPr="00BA54CF">
        <w:rPr>
          <w:rStyle w:val="Lienhypertexte"/>
          <w:i/>
          <w:iCs/>
        </w:rPr>
        <w:t>Pediatric</w:t>
      </w:r>
      <w:proofErr w:type="spellEnd"/>
      <w:r w:rsidR="008E7C40" w:rsidRPr="00BA54CF">
        <w:rPr>
          <w:rStyle w:val="Lienhypertexte"/>
          <w:i/>
          <w:iCs/>
        </w:rPr>
        <w:t xml:space="preserve"> </w:t>
      </w:r>
      <w:proofErr w:type="spellStart"/>
      <w:r w:rsidR="008E7C40" w:rsidRPr="00BA54CF">
        <w:rPr>
          <w:rStyle w:val="Lienhypertexte"/>
          <w:i/>
          <w:iCs/>
        </w:rPr>
        <w:t>Gender</w:t>
      </w:r>
      <w:proofErr w:type="spellEnd"/>
      <w:r w:rsidR="008E7C40" w:rsidRPr="00BA54CF">
        <w:rPr>
          <w:rStyle w:val="Lienhypertexte"/>
          <w:i/>
          <w:iCs/>
        </w:rPr>
        <w:t xml:space="preserve"> </w:t>
      </w:r>
      <w:proofErr w:type="spellStart"/>
      <w:r w:rsidR="008E7C40" w:rsidRPr="00BA54CF">
        <w:rPr>
          <w:rStyle w:val="Lienhypertexte"/>
          <w:i/>
          <w:iCs/>
        </w:rPr>
        <w:t>Dysphoria</w:t>
      </w:r>
      <w:proofErr w:type="spellEnd"/>
      <w:r w:rsidR="00BA54CF">
        <w:rPr>
          <w:i/>
          <w:iCs/>
        </w:rPr>
        <w:fldChar w:fldCharType="end"/>
      </w:r>
      <w:r w:rsidR="008E7C40">
        <w:t> » publié en 2025 par le</w:t>
      </w:r>
      <w:r w:rsidR="003A780E">
        <w:t xml:space="preserve"> ministère de la santé aux US</w:t>
      </w:r>
      <w:r w:rsidR="002F7E90">
        <w:t xml:space="preserve">, rapport </w:t>
      </w:r>
      <w:hyperlink r:id="rId80" w:history="1">
        <w:r w:rsidR="002F7E90" w:rsidRPr="002F7E90">
          <w:rPr>
            <w:rStyle w:val="Lienhypertexte"/>
          </w:rPr>
          <w:t>en français</w:t>
        </w:r>
      </w:hyperlink>
      <w:r w:rsidRPr="002F5534">
        <w:t xml:space="preserve">) ; </w:t>
      </w:r>
      <w:hyperlink r:id="rId81" w:history="1">
        <w:r w:rsidRPr="002F5534">
          <w:rPr>
            <w:rStyle w:val="Lienhypertexte"/>
          </w:rPr>
          <w:t>sept d’entre elles</w:t>
        </w:r>
      </w:hyperlink>
      <w:r w:rsidRPr="002F5534">
        <w:t xml:space="preserve"> avaient été commandées pour</w:t>
      </w:r>
      <w:r w:rsidR="00662130">
        <w:t xml:space="preserve"> informer</w:t>
      </w:r>
      <w:r w:rsidRPr="002F5534">
        <w:t xml:space="preserve"> le </w:t>
      </w:r>
      <w:hyperlink r:id="rId82" w:tooltip="Independent review of gender identity services for children and young people: Final report" w:history="1">
        <w:r w:rsidR="00A351BA" w:rsidRPr="00A351BA">
          <w:rPr>
            <w:rStyle w:val="Lienhypertexte"/>
          </w:rPr>
          <w:t>rapport final du Cass Review</w:t>
        </w:r>
      </w:hyperlink>
      <w:r w:rsidR="00662130">
        <w:t xml:space="preserve"> (2024)</w:t>
      </w:r>
      <w:r w:rsidR="00CB0A9B">
        <w:t xml:space="preserve">, dont </w:t>
      </w:r>
      <w:r w:rsidR="00CB0A9B" w:rsidRPr="002F5534">
        <w:t>l’impact des conclusions s’est étendu bien au-delà du Royaume-Uni.</w:t>
      </w:r>
    </w:p>
    <w:p w14:paraId="7291473E" w14:textId="76C1D73B" w:rsidR="00CB0A9B" w:rsidRPr="00925568" w:rsidRDefault="002F5534" w:rsidP="002F5534">
      <w:pPr>
        <w:rPr>
          <w:b/>
          <w:bCs/>
        </w:rPr>
      </w:pPr>
      <w:r w:rsidRPr="002F5534">
        <w:rPr>
          <w:b/>
          <w:bCs/>
        </w:rPr>
        <w:t xml:space="preserve">Leurs conclusions concordent avec celles de </w:t>
      </w:r>
      <w:r w:rsidR="00200711" w:rsidRPr="00925568">
        <w:rPr>
          <w:b/>
          <w:bCs/>
        </w:rPr>
        <w:t>l’</w:t>
      </w:r>
      <w:proofErr w:type="spellStart"/>
      <w:r w:rsidR="00200711" w:rsidRPr="00925568">
        <w:rPr>
          <w:b/>
          <w:bCs/>
          <w:i/>
          <w:iCs/>
        </w:rPr>
        <w:t>umbrella</w:t>
      </w:r>
      <w:proofErr w:type="spellEnd"/>
      <w:r w:rsidR="00200711" w:rsidRPr="00925568">
        <w:rPr>
          <w:b/>
          <w:bCs/>
          <w:i/>
          <w:iCs/>
        </w:rPr>
        <w:t xml:space="preserve"> </w:t>
      </w:r>
      <w:proofErr w:type="spellStart"/>
      <w:r w:rsidR="00200711" w:rsidRPr="002F5534">
        <w:rPr>
          <w:b/>
          <w:bCs/>
          <w:i/>
          <w:iCs/>
        </w:rPr>
        <w:t>rev</w:t>
      </w:r>
      <w:r w:rsidR="00200711" w:rsidRPr="00925568">
        <w:rPr>
          <w:b/>
          <w:bCs/>
          <w:i/>
          <w:iCs/>
        </w:rPr>
        <w:t>iew</w:t>
      </w:r>
      <w:proofErr w:type="spellEnd"/>
      <w:r w:rsidR="00200711" w:rsidRPr="00925568">
        <w:rPr>
          <w:b/>
          <w:bCs/>
        </w:rPr>
        <w:t> </w:t>
      </w:r>
      <w:r w:rsidRPr="002F5534">
        <w:rPr>
          <w:b/>
          <w:bCs/>
        </w:rPr>
        <w:t>cité</w:t>
      </w:r>
      <w:r w:rsidR="00925568">
        <w:rPr>
          <w:b/>
          <w:bCs/>
        </w:rPr>
        <w:t>e par Cohn</w:t>
      </w:r>
      <w:r w:rsidRPr="002F5534">
        <w:rPr>
          <w:b/>
          <w:bCs/>
        </w:rPr>
        <w:t xml:space="preserve">. </w:t>
      </w:r>
    </w:p>
    <w:p w14:paraId="27A12E71" w14:textId="77777777" w:rsidR="00CB0A9B" w:rsidRDefault="00CB0A9B" w:rsidP="002F5534"/>
    <w:p w14:paraId="3F237E89" w14:textId="110C4ED2" w:rsidR="005F06EA" w:rsidRPr="00925568" w:rsidRDefault="005F06EA" w:rsidP="002F5534">
      <w:pPr>
        <w:rPr>
          <w:b/>
          <w:bCs/>
        </w:rPr>
      </w:pPr>
      <w:r w:rsidRPr="00925568">
        <w:rPr>
          <w:b/>
          <w:bCs/>
        </w:rPr>
        <w:t>Concernant le Cass Review </w:t>
      </w:r>
    </w:p>
    <w:p w14:paraId="13C887BE" w14:textId="01C15BC0" w:rsidR="005F06EA" w:rsidRDefault="005F06EA" w:rsidP="00DB6743">
      <w:pPr>
        <w:pStyle w:val="Paragraphedeliste"/>
        <w:numPr>
          <w:ilvl w:val="0"/>
          <w:numId w:val="18"/>
        </w:numPr>
        <w:ind w:left="357" w:hanging="357"/>
      </w:pPr>
      <w:r>
        <w:t xml:space="preserve">Le </w:t>
      </w:r>
      <w:r w:rsidR="002F5534" w:rsidRPr="005F06EA">
        <w:rPr>
          <w:i/>
          <w:iCs/>
        </w:rPr>
        <w:t xml:space="preserve">NHS </w:t>
      </w:r>
      <w:proofErr w:type="spellStart"/>
      <w:r w:rsidR="002F5534" w:rsidRPr="005F06EA">
        <w:rPr>
          <w:i/>
          <w:iCs/>
        </w:rPr>
        <w:t>England</w:t>
      </w:r>
      <w:proofErr w:type="spellEnd"/>
      <w:r w:rsidR="002F5534" w:rsidRPr="002F5534">
        <w:t xml:space="preserve"> s’est immédiatement engagé à mettre en œuvre ses recommandations (</w:t>
      </w:r>
      <w:hyperlink r:id="rId83" w:tooltip="NHS England responds to the publication of the independent review, 10 avril 2024" w:history="1">
        <w:r w:rsidR="002F5534" w:rsidRPr="002F5534">
          <w:rPr>
            <w:rStyle w:val="Lienhypertexte"/>
          </w:rPr>
          <w:t xml:space="preserve">NHS </w:t>
        </w:r>
        <w:proofErr w:type="spellStart"/>
        <w:r w:rsidR="002F5534" w:rsidRPr="002F5534">
          <w:rPr>
            <w:rStyle w:val="Lienhypertexte"/>
          </w:rPr>
          <w:t>England</w:t>
        </w:r>
        <w:proofErr w:type="spellEnd"/>
      </w:hyperlink>
      <w:r w:rsidR="002F5534" w:rsidRPr="002F5534">
        <w:t>, 2024)</w:t>
      </w:r>
      <w:r>
        <w:t xml:space="preserve">. </w:t>
      </w:r>
      <w:r w:rsidR="005977D6">
        <w:t>[</w:t>
      </w:r>
      <w:r>
        <w:t>Ses conclusions sont acceptées par les deux partis</w:t>
      </w:r>
      <w:r w:rsidR="00925568">
        <w:t xml:space="preserve"> (en savoir plus : </w:t>
      </w:r>
      <w:hyperlink r:id="rId84" w:history="1">
        <w:r w:rsidR="00925568" w:rsidRPr="00925568">
          <w:rPr>
            <w:rStyle w:val="Lienhypertexte"/>
          </w:rPr>
          <w:t>contexte de l’Examen</w:t>
        </w:r>
      </w:hyperlink>
      <w:r w:rsidR="005977D6">
        <w:t>]</w:t>
      </w:r>
      <w:r w:rsidR="00925568">
        <w:t>.</w:t>
      </w:r>
    </w:p>
    <w:p w14:paraId="2FDA5A75" w14:textId="1E96519C" w:rsidR="002F5534" w:rsidRDefault="005F06EA" w:rsidP="00DB6743">
      <w:pPr>
        <w:pStyle w:val="Paragraphedeliste"/>
        <w:numPr>
          <w:ilvl w:val="0"/>
          <w:numId w:val="18"/>
        </w:numPr>
        <w:ind w:left="357" w:hanging="357"/>
      </w:pPr>
      <w:r>
        <w:t>L</w:t>
      </w:r>
      <w:r w:rsidR="002F5534" w:rsidRPr="002F5534">
        <w:t>’ESCAP (</w:t>
      </w:r>
      <w:proofErr w:type="spellStart"/>
      <w:r w:rsidR="002F5534" w:rsidRPr="005F06EA">
        <w:rPr>
          <w:i/>
          <w:iCs/>
        </w:rPr>
        <w:t>European</w:t>
      </w:r>
      <w:proofErr w:type="spellEnd"/>
      <w:r w:rsidR="002F5534" w:rsidRPr="005F06EA">
        <w:rPr>
          <w:i/>
          <w:iCs/>
        </w:rPr>
        <w:t xml:space="preserve"> Society for Child &amp; Adolescent </w:t>
      </w:r>
      <w:proofErr w:type="spellStart"/>
      <w:r w:rsidR="002F5534" w:rsidRPr="005F06EA">
        <w:rPr>
          <w:i/>
          <w:iCs/>
        </w:rPr>
        <w:t>Psychiatry</w:t>
      </w:r>
      <w:proofErr w:type="spellEnd"/>
      <w:r w:rsidR="002F5534" w:rsidRPr="002F5534">
        <w:t xml:space="preserve">), qui regroupe des sociétés de psychiatrie de l’enfant et de l’adolescent de plus de 30 pays européens, a également publié une déclaration soulignant « </w:t>
      </w:r>
      <w:r w:rsidR="002F5534" w:rsidRPr="005977D6">
        <w:rPr>
          <w:i/>
          <w:iCs/>
        </w:rPr>
        <w:t>un besoin urgent de garantir les normes cliniques, scientifiques et éthiques</w:t>
      </w:r>
      <w:r w:rsidR="002F5534" w:rsidRPr="002F5534">
        <w:t xml:space="preserve"> » (</w:t>
      </w:r>
      <w:proofErr w:type="spellStart"/>
      <w:r w:rsidR="002F5534" w:rsidRPr="002F5534">
        <w:t>Drobnič</w:t>
      </w:r>
      <w:proofErr w:type="spellEnd"/>
      <w:r w:rsidR="002F5534" w:rsidRPr="002F5534">
        <w:t xml:space="preserve"> </w:t>
      </w:r>
      <w:proofErr w:type="spellStart"/>
      <w:r w:rsidR="002F5534" w:rsidRPr="002F5534">
        <w:t>Radobuljac</w:t>
      </w:r>
      <w:proofErr w:type="spellEnd"/>
      <w:r w:rsidR="002F5534" w:rsidRPr="002F5534">
        <w:t xml:space="preserve"> et al., </w:t>
      </w:r>
      <w:hyperlink r:id="rId85" w:tooltip="Communiqué de l'ESCAP, société européenne de psychiatrie de l'enfant et adolescent" w:history="1">
        <w:r w:rsidR="002F5534" w:rsidRPr="002F5534">
          <w:rPr>
            <w:rStyle w:val="Lienhypertexte"/>
          </w:rPr>
          <w:t>2024</w:t>
        </w:r>
      </w:hyperlink>
      <w:r w:rsidR="002F5534" w:rsidRPr="002F5534">
        <w:t>).</w:t>
      </w:r>
    </w:p>
    <w:p w14:paraId="53A0CDB1" w14:textId="77777777" w:rsidR="00D90DE8" w:rsidRPr="002F5534" w:rsidRDefault="00D90DE8" w:rsidP="002F5534"/>
    <w:p w14:paraId="519A4AAC" w14:textId="72604F13" w:rsidR="00473155" w:rsidRDefault="00955ADB" w:rsidP="00473155">
      <w:r w:rsidRPr="002F5534">
        <w:t>McNamara</w:t>
      </w:r>
      <w:r>
        <w:t>, l</w:t>
      </w:r>
      <w:r w:rsidR="00473155" w:rsidRPr="00473155">
        <w:t xml:space="preserve">’auteure principale de l’article du </w:t>
      </w:r>
      <w:r w:rsidR="00473155" w:rsidRPr="00473155">
        <w:rPr>
          <w:i/>
          <w:iCs/>
        </w:rPr>
        <w:t>NEJM</w:t>
      </w:r>
      <w:r>
        <w:rPr>
          <w:i/>
          <w:iCs/>
        </w:rPr>
        <w:t>,</w:t>
      </w:r>
      <w:r w:rsidR="00473155" w:rsidRPr="00473155">
        <w:t xml:space="preserve"> a également conduit une </w:t>
      </w:r>
      <w:r w:rsidR="00473155" w:rsidRPr="003705F2">
        <w:rPr>
          <w:b/>
          <w:bCs/>
        </w:rPr>
        <w:t xml:space="preserve">critique du rapport final du </w:t>
      </w:r>
      <w:r w:rsidR="00473155" w:rsidRPr="003705F2">
        <w:rPr>
          <w:b/>
          <w:bCs/>
          <w:i/>
          <w:iCs/>
        </w:rPr>
        <w:t>Cass Review</w:t>
      </w:r>
      <w:r w:rsidR="00473155">
        <w:rPr>
          <w:i/>
          <w:iCs/>
        </w:rPr>
        <w:t xml:space="preserve"> </w:t>
      </w:r>
      <w:r w:rsidR="00473155" w:rsidRPr="002F5534">
        <w:t xml:space="preserve">(McNamara et al., </w:t>
      </w:r>
      <w:hyperlink r:id="rId86" w:tooltip="An evidence-based critique of " w:history="1">
        <w:r w:rsidR="00473155" w:rsidRPr="002F5534">
          <w:rPr>
            <w:rStyle w:val="Lienhypertexte"/>
          </w:rPr>
          <w:t>2024</w:t>
        </w:r>
      </w:hyperlink>
      <w:r w:rsidR="00473155" w:rsidRPr="002F5534">
        <w:t>)</w:t>
      </w:r>
      <w:r w:rsidR="00473155" w:rsidRPr="00473155">
        <w:t xml:space="preserve">, publiée sur le site du </w:t>
      </w:r>
      <w:r w:rsidR="00473155" w:rsidRPr="00473155">
        <w:rPr>
          <w:i/>
          <w:iCs/>
        </w:rPr>
        <w:t xml:space="preserve">Yale </w:t>
      </w:r>
      <w:proofErr w:type="spellStart"/>
      <w:r w:rsidR="00473155" w:rsidRPr="00473155">
        <w:rPr>
          <w:i/>
          <w:iCs/>
        </w:rPr>
        <w:t>Integrity</w:t>
      </w:r>
      <w:proofErr w:type="spellEnd"/>
      <w:r w:rsidR="00473155" w:rsidRPr="00473155">
        <w:rPr>
          <w:i/>
          <w:iCs/>
        </w:rPr>
        <w:t xml:space="preserve"> Project</w:t>
      </w:r>
      <w:r w:rsidR="00473155" w:rsidRPr="00473155">
        <w:t xml:space="preserve">. Cette critique reprenait </w:t>
      </w:r>
      <w:r w:rsidR="00473155" w:rsidRPr="003705F2">
        <w:rPr>
          <w:b/>
          <w:bCs/>
        </w:rPr>
        <w:t>plusieurs arguments déjà avancés</w:t>
      </w:r>
      <w:r w:rsidR="00473155" w:rsidRPr="00473155">
        <w:t xml:space="preserve"> dans l’article du </w:t>
      </w:r>
      <w:r w:rsidR="00473155" w:rsidRPr="00473155">
        <w:rPr>
          <w:i/>
          <w:iCs/>
        </w:rPr>
        <w:t>NEJM</w:t>
      </w:r>
      <w:r w:rsidR="00473155" w:rsidRPr="00473155">
        <w:t xml:space="preserve">, mais, contrairement à ce dernier, elle a fait l’objet de </w:t>
      </w:r>
      <w:r w:rsidR="00473155" w:rsidRPr="003705F2">
        <w:rPr>
          <w:b/>
          <w:bCs/>
        </w:rPr>
        <w:t>plusieurs réfutations évaluées</w:t>
      </w:r>
      <w:r w:rsidR="00473155" w:rsidRPr="00473155">
        <w:t xml:space="preserve"> par les pairs</w:t>
      </w:r>
      <w:r w:rsidR="00473155">
        <w:t xml:space="preserve"> </w:t>
      </w:r>
      <w:r w:rsidR="00473155" w:rsidRPr="002F5534">
        <w:t xml:space="preserve">publiées (Cheung et al., </w:t>
      </w:r>
      <w:hyperlink r:id="rId87" w:tooltip="Gender medicine and the Cass Review: Why medicine and the law make poor bedfellows" w:history="1">
        <w:r w:rsidR="00473155" w:rsidRPr="002F5534">
          <w:rPr>
            <w:rStyle w:val="Lienhypertexte"/>
          </w:rPr>
          <w:t>2025</w:t>
        </w:r>
      </w:hyperlink>
      <w:r w:rsidR="00473155" w:rsidRPr="002F5534">
        <w:t xml:space="preserve"> ; </w:t>
      </w:r>
      <w:proofErr w:type="spellStart"/>
      <w:r w:rsidR="00473155" w:rsidRPr="002F5534">
        <w:t>McDeavitt</w:t>
      </w:r>
      <w:proofErr w:type="spellEnd"/>
      <w:r w:rsidR="00473155" w:rsidRPr="002F5534">
        <w:t xml:space="preserve"> et al., </w:t>
      </w:r>
      <w:hyperlink r:id="rId88" w:tooltip="Critiques of the Cass review: Fact-checking the peer-reviewed and grey literature." w:history="1">
        <w:r w:rsidR="00473155" w:rsidRPr="002F5534">
          <w:rPr>
            <w:rStyle w:val="Lienhypertexte"/>
          </w:rPr>
          <w:t>2025b</w:t>
        </w:r>
      </w:hyperlink>
      <w:r w:rsidR="00473155">
        <w:t xml:space="preserve">, </w:t>
      </w:r>
      <w:r w:rsidR="005977D6">
        <w:t>[</w:t>
      </w:r>
      <w:proofErr w:type="spellStart"/>
      <w:r w:rsidR="00473155">
        <w:t>Kingdon</w:t>
      </w:r>
      <w:proofErr w:type="spellEnd"/>
      <w:r w:rsidR="00473155">
        <w:t xml:space="preserve">, </w:t>
      </w:r>
      <w:proofErr w:type="spellStart"/>
      <w:r w:rsidR="00473155">
        <w:t>Stingelin</w:t>
      </w:r>
      <w:proofErr w:type="spellEnd"/>
      <w:r w:rsidR="00473155">
        <w:t xml:space="preserve">-Giles, Cass, </w:t>
      </w:r>
      <w:hyperlink r:id="rId89" w:anchor="d1e114" w:tooltip="The Cass Review; Distinguishing Fact from Fiction" w:history="1">
        <w:r w:rsidR="00473155" w:rsidRPr="00F808DF">
          <w:rPr>
            <w:rStyle w:val="Lienhypertexte"/>
          </w:rPr>
          <w:t>2025</w:t>
        </w:r>
      </w:hyperlink>
      <w:r w:rsidR="005977D6">
        <w:t>]</w:t>
      </w:r>
      <w:r w:rsidR="00473155">
        <w:t>).</w:t>
      </w:r>
    </w:p>
    <w:p w14:paraId="4307DA74" w14:textId="77777777" w:rsidR="001A62BC" w:rsidRDefault="001A62BC" w:rsidP="006D7081"/>
    <w:p w14:paraId="159E41EC" w14:textId="5C12257C" w:rsidR="001A62BC" w:rsidRPr="00483294" w:rsidRDefault="00F30C9C" w:rsidP="00F51227">
      <w:pPr>
        <w:pStyle w:val="Titre3"/>
      </w:pPr>
      <w:bookmarkStart w:id="12" w:name="_Toc217928616"/>
      <w:r w:rsidRPr="00483294">
        <w:t>2</w:t>
      </w:r>
      <w:r w:rsidR="00B84884" w:rsidRPr="00483294">
        <w:t xml:space="preserve">.4. </w:t>
      </w:r>
      <w:proofErr w:type="spellStart"/>
      <w:r w:rsidR="001A62BC" w:rsidRPr="00483294">
        <w:t>Barbee</w:t>
      </w:r>
      <w:proofErr w:type="spellEnd"/>
      <w:r w:rsidR="001A62BC" w:rsidRPr="00483294">
        <w:t xml:space="preserve"> et al. 2024</w:t>
      </w:r>
      <w:r w:rsidR="009A2C56" w:rsidRPr="00483294">
        <w:t xml:space="preserve">, </w:t>
      </w:r>
      <w:r w:rsidR="001A62BC" w:rsidRPr="00483294">
        <w:rPr>
          <w:i/>
          <w:iCs/>
        </w:rPr>
        <w:t xml:space="preserve">JAMA </w:t>
      </w:r>
      <w:proofErr w:type="spellStart"/>
      <w:r w:rsidR="001A62BC" w:rsidRPr="00483294">
        <w:rPr>
          <w:i/>
          <w:iCs/>
        </w:rPr>
        <w:t>Surgery</w:t>
      </w:r>
      <w:bookmarkEnd w:id="12"/>
      <w:proofErr w:type="spellEnd"/>
      <w:r w:rsidR="001A62BC" w:rsidRPr="00483294">
        <w:t xml:space="preserve"> </w:t>
      </w:r>
    </w:p>
    <w:p w14:paraId="22149E82" w14:textId="5F61B85E" w:rsidR="009A2C56" w:rsidRPr="00483294" w:rsidRDefault="00EF5F58" w:rsidP="001A62BC">
      <w:r w:rsidRPr="00A9292A">
        <w:rPr>
          <w:rFonts w:ascii="Segoe UI Emoji" w:hAnsi="Segoe UI Emoji" w:cs="Segoe UI Emoji"/>
        </w:rPr>
        <w:t>📄</w:t>
      </w:r>
      <w:r w:rsidR="005C6A7B" w:rsidRPr="00483294">
        <w:t xml:space="preserve"> </w:t>
      </w:r>
      <w:r w:rsidR="00E2768B" w:rsidRPr="00483294">
        <w:t>Point de vue</w:t>
      </w:r>
      <w:r w:rsidR="005C6A7B" w:rsidRPr="00483294">
        <w:t xml:space="preserve"> </w:t>
      </w:r>
      <w:r w:rsidR="00E2768B" w:rsidRPr="00483294">
        <w:t xml:space="preserve">: </w:t>
      </w:r>
      <w:hyperlink r:id="rId90" w:history="1">
        <w:proofErr w:type="spellStart"/>
        <w:r w:rsidR="009A2C56" w:rsidRPr="00483294">
          <w:rPr>
            <w:rStyle w:val="Lienhypertexte"/>
          </w:rPr>
          <w:t>Postoperative</w:t>
        </w:r>
        <w:proofErr w:type="spellEnd"/>
        <w:r w:rsidR="009A2C56" w:rsidRPr="00483294">
          <w:rPr>
            <w:rStyle w:val="Lienhypertexte"/>
          </w:rPr>
          <w:t xml:space="preserve"> Regret </w:t>
        </w:r>
        <w:proofErr w:type="spellStart"/>
        <w:r w:rsidR="009A2C56" w:rsidRPr="00483294">
          <w:rPr>
            <w:rStyle w:val="Lienhypertexte"/>
          </w:rPr>
          <w:t>Among</w:t>
        </w:r>
        <w:proofErr w:type="spellEnd"/>
        <w:r w:rsidR="009A2C56" w:rsidRPr="00483294">
          <w:rPr>
            <w:rStyle w:val="Lienhypertexte"/>
          </w:rPr>
          <w:t xml:space="preserve"> </w:t>
        </w:r>
        <w:proofErr w:type="spellStart"/>
        <w:r w:rsidR="009A2C56" w:rsidRPr="00483294">
          <w:rPr>
            <w:rStyle w:val="Lienhypertexte"/>
          </w:rPr>
          <w:t>Transgender</w:t>
        </w:r>
        <w:proofErr w:type="spellEnd"/>
        <w:r w:rsidR="009A2C56" w:rsidRPr="00483294">
          <w:rPr>
            <w:rStyle w:val="Lienhypertexte"/>
          </w:rPr>
          <w:t xml:space="preserve"> and </w:t>
        </w:r>
        <w:proofErr w:type="spellStart"/>
        <w:r w:rsidR="009A2C56" w:rsidRPr="00483294">
          <w:rPr>
            <w:rStyle w:val="Lienhypertexte"/>
          </w:rPr>
          <w:t>Gender</w:t>
        </w:r>
        <w:proofErr w:type="spellEnd"/>
        <w:r w:rsidR="009A2C56" w:rsidRPr="00483294">
          <w:rPr>
            <w:rStyle w:val="Lienhypertexte"/>
          </w:rPr>
          <w:t xml:space="preserve">-Diverse </w:t>
        </w:r>
        <w:proofErr w:type="spellStart"/>
        <w:r w:rsidR="009A2C56" w:rsidRPr="00483294">
          <w:rPr>
            <w:rStyle w:val="Lienhypertexte"/>
          </w:rPr>
          <w:t>Recipients</w:t>
        </w:r>
        <w:proofErr w:type="spellEnd"/>
        <w:r w:rsidR="009A2C56" w:rsidRPr="00483294">
          <w:rPr>
            <w:rStyle w:val="Lienhypertexte"/>
          </w:rPr>
          <w:t xml:space="preserve"> of </w:t>
        </w:r>
        <w:proofErr w:type="spellStart"/>
        <w:r w:rsidR="009A2C56" w:rsidRPr="00483294">
          <w:rPr>
            <w:rStyle w:val="Lienhypertexte"/>
          </w:rPr>
          <w:t>Gender-Affirming</w:t>
        </w:r>
        <w:proofErr w:type="spellEnd"/>
        <w:r w:rsidR="009A2C56" w:rsidRPr="00483294">
          <w:rPr>
            <w:rStyle w:val="Lienhypertexte"/>
          </w:rPr>
          <w:t xml:space="preserve"> </w:t>
        </w:r>
        <w:proofErr w:type="spellStart"/>
        <w:r w:rsidR="009A2C56" w:rsidRPr="00483294">
          <w:rPr>
            <w:rStyle w:val="Lienhypertexte"/>
          </w:rPr>
          <w:t>Surgery</w:t>
        </w:r>
        <w:proofErr w:type="spellEnd"/>
      </w:hyperlink>
    </w:p>
    <w:p w14:paraId="1937D26D" w14:textId="77777777" w:rsidR="009A2C56" w:rsidRPr="00483294" w:rsidRDefault="009A2C56" w:rsidP="001A62BC"/>
    <w:p w14:paraId="30E5203F" w14:textId="42EAD267" w:rsidR="00DB6743" w:rsidRDefault="00DB6743" w:rsidP="001A62BC">
      <w:r>
        <w:t>Affirmation</w:t>
      </w:r>
      <w:r w:rsidR="00EF5F58">
        <w:t>s</w:t>
      </w:r>
      <w:r>
        <w:t xml:space="preserve"> des auteurs : </w:t>
      </w:r>
    </w:p>
    <w:p w14:paraId="24C322EE" w14:textId="35CA180F" w:rsidR="00EB6613" w:rsidRDefault="001A62BC" w:rsidP="00DB6743">
      <w:pPr>
        <w:pStyle w:val="Paragraphedeliste"/>
        <w:numPr>
          <w:ilvl w:val="0"/>
          <w:numId w:val="18"/>
        </w:numPr>
        <w:ind w:left="357" w:hanging="357"/>
      </w:pPr>
      <w:r w:rsidRPr="001A62BC">
        <w:lastRenderedPageBreak/>
        <w:t xml:space="preserve">le taux de regret après une chirurgie dite « d’affirmation de genre » </w:t>
      </w:r>
      <w:r w:rsidR="00DB6743">
        <w:t>est</w:t>
      </w:r>
      <w:r w:rsidRPr="001A62BC">
        <w:t xml:space="preserve"> « </w:t>
      </w:r>
      <w:r w:rsidRPr="00DB6743">
        <w:rPr>
          <w:b/>
          <w:bCs/>
          <w:i/>
          <w:iCs/>
        </w:rPr>
        <w:t>extrêmement faible</w:t>
      </w:r>
      <w:r w:rsidRPr="001A62BC">
        <w:t xml:space="preserve"> », alors qu’en réalité ce taux n’est pas mesuré de manière crédible (Cohn, </w:t>
      </w:r>
      <w:hyperlink r:id="rId91" w:tooltip="The detransition rate is unknown" w:history="1">
        <w:r w:rsidRPr="001A62BC">
          <w:rPr>
            <w:rStyle w:val="Lienhypertexte"/>
          </w:rPr>
          <w:t>2023</w:t>
        </w:r>
      </w:hyperlink>
      <w:r w:rsidRPr="001A62BC">
        <w:t xml:space="preserve">) et qu’il n’existe aucune raison de penser qu’il soit « </w:t>
      </w:r>
      <w:r w:rsidRPr="00DB6743">
        <w:rPr>
          <w:i/>
          <w:iCs/>
        </w:rPr>
        <w:t>extrêmement faible</w:t>
      </w:r>
      <w:r w:rsidRPr="001A62BC">
        <w:t xml:space="preserve"> ». </w:t>
      </w:r>
    </w:p>
    <w:p w14:paraId="7E774DAF" w14:textId="2509CC7F" w:rsidR="005E40DA" w:rsidRDefault="001A62BC" w:rsidP="00DB6743">
      <w:pPr>
        <w:pStyle w:val="Paragraphedeliste"/>
        <w:numPr>
          <w:ilvl w:val="0"/>
          <w:numId w:val="18"/>
        </w:numPr>
        <w:ind w:left="357" w:hanging="357"/>
      </w:pPr>
      <w:r w:rsidRPr="001A62BC">
        <w:t xml:space="preserve">affirmations non étayées selon lesquelles les interventions médicales d’affirmation de genre seraient « </w:t>
      </w:r>
      <w:r w:rsidRPr="001A62BC">
        <w:rPr>
          <w:b/>
          <w:bCs/>
          <w:i/>
          <w:iCs/>
        </w:rPr>
        <w:t>sûres et efficaces</w:t>
      </w:r>
      <w:r w:rsidRPr="001A62BC">
        <w:t xml:space="preserve"> », avec des « </w:t>
      </w:r>
      <w:r w:rsidRPr="001A62BC">
        <w:rPr>
          <w:b/>
          <w:bCs/>
          <w:i/>
          <w:iCs/>
        </w:rPr>
        <w:t>bénéfices clairs</w:t>
      </w:r>
      <w:r w:rsidRPr="001A62BC">
        <w:t xml:space="preserve"> ».</w:t>
      </w:r>
      <w:r w:rsidRPr="001A62BC">
        <w:br/>
      </w:r>
    </w:p>
    <w:p w14:paraId="28D6D0B4" w14:textId="4DF3756C" w:rsidR="001A62BC" w:rsidRPr="001A62BC" w:rsidRDefault="00EF5F58" w:rsidP="001A62BC">
      <w:r w:rsidRPr="007621E5">
        <w:rPr>
          <w:rFonts w:ascii="Segoe UI Symbol" w:hAnsi="Segoe UI Symbol" w:cs="Segoe UI Symbol"/>
          <w:b/>
          <w:bCs/>
        </w:rPr>
        <w:t>➥</w:t>
      </w:r>
      <w:r>
        <w:rPr>
          <w:rFonts w:ascii="Segoe UI Symbol" w:hAnsi="Segoe UI Symbol" w:cs="Segoe UI Symbol"/>
          <w:b/>
          <w:bCs/>
        </w:rPr>
        <w:t xml:space="preserve"> </w:t>
      </w:r>
      <w:r w:rsidR="005E40DA">
        <w:t>Cohn a soumis au journal une</w:t>
      </w:r>
      <w:r w:rsidR="005E40DA" w:rsidRPr="00384882">
        <w:t> </w:t>
      </w:r>
      <w:r w:rsidR="005E40DA" w:rsidRPr="00012416">
        <w:rPr>
          <w:b/>
          <w:bCs/>
        </w:rPr>
        <w:t>l</w:t>
      </w:r>
      <w:r w:rsidR="005E40DA" w:rsidRPr="00FE4D8B">
        <w:rPr>
          <w:b/>
          <w:bCs/>
        </w:rPr>
        <w:t>ettre à l’éditeur</w:t>
      </w:r>
      <w:r w:rsidR="005E40DA" w:rsidRPr="00384882">
        <w:t xml:space="preserve"> (LTE)</w:t>
      </w:r>
      <w:r w:rsidR="005E40DA">
        <w:rPr>
          <w:i/>
          <w:iCs/>
        </w:rPr>
        <w:t> :</w:t>
      </w:r>
      <w:r w:rsidR="001A62BC" w:rsidRPr="001A62BC">
        <w:rPr>
          <w:i/>
          <w:iCs/>
        </w:rPr>
        <w:t xml:space="preserve"> </w:t>
      </w:r>
      <w:proofErr w:type="spellStart"/>
      <w:r w:rsidR="001A62BC" w:rsidRPr="001A62BC">
        <w:rPr>
          <w:i/>
          <w:iCs/>
        </w:rPr>
        <w:t>Efficacy</w:t>
      </w:r>
      <w:proofErr w:type="spellEnd"/>
      <w:r w:rsidR="001A62BC" w:rsidRPr="001A62BC">
        <w:rPr>
          <w:i/>
          <w:iCs/>
        </w:rPr>
        <w:t xml:space="preserve"> and regret rates are </w:t>
      </w:r>
      <w:proofErr w:type="spellStart"/>
      <w:r w:rsidR="001A62BC" w:rsidRPr="001A62BC">
        <w:rPr>
          <w:i/>
          <w:iCs/>
        </w:rPr>
        <w:t>still</w:t>
      </w:r>
      <w:proofErr w:type="spellEnd"/>
      <w:r w:rsidR="001A62BC" w:rsidRPr="001A62BC">
        <w:rPr>
          <w:i/>
          <w:iCs/>
        </w:rPr>
        <w:t xml:space="preserve"> </w:t>
      </w:r>
      <w:proofErr w:type="spellStart"/>
      <w:r w:rsidR="001A62BC" w:rsidRPr="001A62BC">
        <w:rPr>
          <w:i/>
          <w:iCs/>
        </w:rPr>
        <w:t>unknown</w:t>
      </w:r>
      <w:proofErr w:type="spellEnd"/>
      <w:r w:rsidR="001A62BC" w:rsidRPr="001A62BC">
        <w:rPr>
          <w:i/>
          <w:iCs/>
        </w:rPr>
        <w:t xml:space="preserve"> for </w:t>
      </w:r>
      <w:proofErr w:type="spellStart"/>
      <w:r w:rsidR="001A62BC" w:rsidRPr="001A62BC">
        <w:rPr>
          <w:i/>
          <w:iCs/>
        </w:rPr>
        <w:t>gender-affirming</w:t>
      </w:r>
      <w:proofErr w:type="spellEnd"/>
      <w:r w:rsidR="001A62BC" w:rsidRPr="001A62BC">
        <w:rPr>
          <w:i/>
          <w:iCs/>
        </w:rPr>
        <w:t xml:space="preserve"> </w:t>
      </w:r>
      <w:proofErr w:type="spellStart"/>
      <w:r w:rsidR="001A62BC" w:rsidRPr="001A62BC">
        <w:rPr>
          <w:i/>
          <w:iCs/>
        </w:rPr>
        <w:t>surgery</w:t>
      </w:r>
      <w:proofErr w:type="spellEnd"/>
      <w:r w:rsidR="001A62BC" w:rsidRPr="001A62BC">
        <w:t>, souligna</w:t>
      </w:r>
      <w:r w:rsidR="005E40DA">
        <w:t>n</w:t>
      </w:r>
      <w:r w:rsidR="001A62BC" w:rsidRPr="001A62BC">
        <w:t xml:space="preserve">t que ces affirmations n’étaient pas étayées. </w:t>
      </w:r>
      <w:r w:rsidR="001A62BC" w:rsidRPr="001A62BC">
        <w:rPr>
          <w:b/>
          <w:bCs/>
        </w:rPr>
        <w:t>Elle a</w:t>
      </w:r>
      <w:r w:rsidR="00AD26A1" w:rsidRPr="00AD26A1">
        <w:rPr>
          <w:b/>
          <w:bCs/>
        </w:rPr>
        <w:t>vait</w:t>
      </w:r>
      <w:r w:rsidR="001A62BC" w:rsidRPr="001A62BC">
        <w:rPr>
          <w:b/>
          <w:bCs/>
        </w:rPr>
        <w:t xml:space="preserve"> été acceptée</w:t>
      </w:r>
      <w:r w:rsidR="00023785">
        <w:rPr>
          <w:b/>
          <w:bCs/>
        </w:rPr>
        <w:t xml:space="preserve">, </w:t>
      </w:r>
      <w:r w:rsidR="00023785" w:rsidRPr="00EF5F58">
        <w:t>et Cohn avait</w:t>
      </w:r>
      <w:r w:rsidR="00023785">
        <w:rPr>
          <w:b/>
          <w:bCs/>
        </w:rPr>
        <w:t xml:space="preserve"> </w:t>
      </w:r>
      <w:r w:rsidR="00023785" w:rsidRPr="00BA08D4">
        <w:t>respecté les consignes éditoriales e</w:t>
      </w:r>
      <w:r w:rsidR="00023785">
        <w:t>n</w:t>
      </w:r>
      <w:r w:rsidR="00023785" w:rsidRPr="00BA08D4">
        <w:t xml:space="preserve"> déclar</w:t>
      </w:r>
      <w:r w:rsidR="00023785">
        <w:t>ant</w:t>
      </w:r>
      <w:r w:rsidR="00023785" w:rsidRPr="00BA08D4">
        <w:t xml:space="preserve"> </w:t>
      </w:r>
      <w:r w:rsidR="00B62FD7">
        <w:t xml:space="preserve">correctement </w:t>
      </w:r>
      <w:r w:rsidR="00023785" w:rsidRPr="00BA08D4">
        <w:t xml:space="preserve">son affiliation à la </w:t>
      </w:r>
      <w:r w:rsidR="00023785" w:rsidRPr="00BA08D4">
        <w:rPr>
          <w:i/>
          <w:iCs/>
        </w:rPr>
        <w:t>Society for Evidence-</w:t>
      </w:r>
      <w:proofErr w:type="spellStart"/>
      <w:r w:rsidR="00023785" w:rsidRPr="00BA08D4">
        <w:rPr>
          <w:i/>
          <w:iCs/>
        </w:rPr>
        <w:t>Based</w:t>
      </w:r>
      <w:proofErr w:type="spellEnd"/>
      <w:r w:rsidR="00023785" w:rsidRPr="00BA08D4">
        <w:rPr>
          <w:i/>
          <w:iCs/>
        </w:rPr>
        <w:t xml:space="preserve"> </w:t>
      </w:r>
      <w:proofErr w:type="spellStart"/>
      <w:r w:rsidR="00023785" w:rsidRPr="00BA08D4">
        <w:rPr>
          <w:i/>
          <w:iCs/>
        </w:rPr>
        <w:t>Gender</w:t>
      </w:r>
      <w:proofErr w:type="spellEnd"/>
      <w:r w:rsidR="00023785" w:rsidRPr="00BA08D4">
        <w:rPr>
          <w:i/>
          <w:iCs/>
        </w:rPr>
        <w:t xml:space="preserve"> </w:t>
      </w:r>
      <w:proofErr w:type="spellStart"/>
      <w:r w:rsidR="00023785" w:rsidRPr="00BA08D4">
        <w:rPr>
          <w:i/>
          <w:iCs/>
        </w:rPr>
        <w:t>Medicine</w:t>
      </w:r>
      <w:proofErr w:type="spellEnd"/>
      <w:r w:rsidR="00023785" w:rsidRPr="00BA08D4">
        <w:t xml:space="preserve"> (SEGM), </w:t>
      </w:r>
      <w:r w:rsidR="00B62FD7">
        <w:t>et en ne déclarant aucun intérêt financier.</w:t>
      </w:r>
    </w:p>
    <w:p w14:paraId="781EFE7B" w14:textId="77777777" w:rsidR="00EB6613" w:rsidRDefault="00EB6613" w:rsidP="001A62BC"/>
    <w:p w14:paraId="08A2BB3C" w14:textId="2283AC4B" w:rsidR="00023785" w:rsidRPr="009342BA" w:rsidRDefault="002B3AC0" w:rsidP="00023785">
      <w:r>
        <w:t>Mais a</w:t>
      </w:r>
      <w:r w:rsidR="00023785" w:rsidRPr="009342BA">
        <w:t>près acceptation, un</w:t>
      </w:r>
      <w:r w:rsidR="00023785">
        <w:t xml:space="preserve">e </w:t>
      </w:r>
      <w:r w:rsidR="00023785" w:rsidRPr="009342BA">
        <w:t>édi</w:t>
      </w:r>
      <w:r w:rsidR="00023785">
        <w:t xml:space="preserve">trice </w:t>
      </w:r>
      <w:r w:rsidR="00023785" w:rsidRPr="009342BA">
        <w:t xml:space="preserve">lui </w:t>
      </w:r>
      <w:r>
        <w:t xml:space="preserve">a </w:t>
      </w:r>
      <w:r w:rsidR="00023785" w:rsidRPr="009342BA">
        <w:t>demand</w:t>
      </w:r>
      <w:r>
        <w:t>é</w:t>
      </w:r>
      <w:r w:rsidR="00023785" w:rsidRPr="009342BA">
        <w:t xml:space="preserve"> d’ajouter une </w:t>
      </w:r>
      <w:r w:rsidR="00023785" w:rsidRPr="009342BA">
        <w:rPr>
          <w:b/>
          <w:bCs/>
        </w:rPr>
        <w:t>déclaration détaillée</w:t>
      </w:r>
      <w:r w:rsidR="00023785" w:rsidRPr="009342BA">
        <w:t xml:space="preserve"> sur la SEGM (objectifs, liens</w:t>
      </w:r>
      <w:r w:rsidR="00023785">
        <w:t xml:space="preserve"> financiers</w:t>
      </w:r>
      <w:r w:rsidR="00023785" w:rsidRPr="009342BA">
        <w:t>, etc</w:t>
      </w:r>
      <w:r w:rsidR="00B62FD7">
        <w:t xml:space="preserve">.). </w:t>
      </w:r>
      <w:r w:rsidR="00023785" w:rsidRPr="009342BA">
        <w:t xml:space="preserve">Cohn </w:t>
      </w:r>
      <w:r w:rsidR="00023785">
        <w:t>a</w:t>
      </w:r>
      <w:r>
        <w:t>vait</w:t>
      </w:r>
      <w:r w:rsidR="00023785">
        <w:t xml:space="preserve"> accepté</w:t>
      </w:r>
      <w:r w:rsidR="00023785" w:rsidRPr="009342BA">
        <w:t xml:space="preserve"> </w:t>
      </w:r>
      <w:r w:rsidR="00023785" w:rsidRPr="009342BA">
        <w:rPr>
          <w:b/>
          <w:bCs/>
        </w:rPr>
        <w:t>sur le principe</w:t>
      </w:r>
      <w:r w:rsidR="00023785" w:rsidRPr="009342BA">
        <w:t>,</w:t>
      </w:r>
      <w:r w:rsidR="00023785">
        <w:t xml:space="preserve"> </w:t>
      </w:r>
      <w:r w:rsidR="00023785" w:rsidRPr="009342BA">
        <w:t>mais</w:t>
      </w:r>
      <w:r w:rsidR="00023785">
        <w:t xml:space="preserve"> en</w:t>
      </w:r>
      <w:r w:rsidR="00023785" w:rsidRPr="009342BA">
        <w:t xml:space="preserve"> demand</w:t>
      </w:r>
      <w:r w:rsidR="00023785">
        <w:t>ant</w:t>
      </w:r>
      <w:r w:rsidR="00023785" w:rsidRPr="009342BA">
        <w:t xml:space="preserve"> </w:t>
      </w:r>
      <w:r w:rsidR="00023785" w:rsidRPr="009342BA">
        <w:rPr>
          <w:b/>
          <w:bCs/>
        </w:rPr>
        <w:t>des garanties de confidentialité</w:t>
      </w:r>
      <w:r w:rsidR="00023785" w:rsidRPr="009342BA">
        <w:t xml:space="preserve"> avant de fournir des informations supplémentaires</w:t>
      </w:r>
      <w:r w:rsidR="00023785">
        <w:t xml:space="preserve"> demandées</w:t>
      </w:r>
      <w:r>
        <w:t xml:space="preserve"> (qui étaient </w:t>
      </w:r>
      <w:r w:rsidR="00023785" w:rsidRPr="009342BA">
        <w:rPr>
          <w:b/>
          <w:bCs/>
        </w:rPr>
        <w:t>sans lien avec la médecine du genre ni avec sa lettre</w:t>
      </w:r>
      <w:r>
        <w:rPr>
          <w:b/>
          <w:bCs/>
        </w:rPr>
        <w:t>)</w:t>
      </w:r>
      <w:r w:rsidR="00023785" w:rsidRPr="009342BA">
        <w:t>.</w:t>
      </w:r>
    </w:p>
    <w:p w14:paraId="65F59255" w14:textId="41EFBB8D" w:rsidR="00023785" w:rsidRPr="009342BA" w:rsidRDefault="00023785" w:rsidP="00023785">
      <w:r w:rsidRPr="009342BA">
        <w:rPr>
          <w:b/>
          <w:bCs/>
        </w:rPr>
        <w:t>Au lieu de répondre à cette demande</w:t>
      </w:r>
      <w:r w:rsidRPr="009342BA">
        <w:t>, l’édit</w:t>
      </w:r>
      <w:r w:rsidR="002B3AC0">
        <w:t>rice</w:t>
      </w:r>
      <w:r w:rsidRPr="009342BA">
        <w:t xml:space="preserve"> </w:t>
      </w:r>
      <w:r>
        <w:rPr>
          <w:b/>
          <w:bCs/>
        </w:rPr>
        <w:t>a rejeté</w:t>
      </w:r>
      <w:r w:rsidRPr="009342BA">
        <w:rPr>
          <w:b/>
          <w:bCs/>
        </w:rPr>
        <w:t xml:space="preserve"> la lettre déjà acceptée</w:t>
      </w:r>
      <w:r>
        <w:t>, sans explication valable.</w:t>
      </w:r>
    </w:p>
    <w:p w14:paraId="5378BDD5" w14:textId="77777777" w:rsidR="00EB6613" w:rsidRPr="001A62BC" w:rsidRDefault="00EB6613" w:rsidP="001A62BC"/>
    <w:p w14:paraId="4E16CD25" w14:textId="77777777" w:rsidR="00A03C0D" w:rsidRDefault="00A03C0D" w:rsidP="001A62BC">
      <w:r>
        <w:t>À</w:t>
      </w:r>
      <w:r w:rsidR="001A62BC" w:rsidRPr="001A62BC">
        <w:t xml:space="preserve"> aucun moment </w:t>
      </w:r>
      <w:r w:rsidR="001A62BC" w:rsidRPr="001A62BC">
        <w:rPr>
          <w:b/>
          <w:bCs/>
        </w:rPr>
        <w:t xml:space="preserve">l’exactitude du contenu de </w:t>
      </w:r>
      <w:r w:rsidR="003705F2" w:rsidRPr="00A03C0D">
        <w:rPr>
          <w:b/>
          <w:bCs/>
        </w:rPr>
        <w:t>sa</w:t>
      </w:r>
      <w:r w:rsidR="001A62BC" w:rsidRPr="001A62BC">
        <w:rPr>
          <w:b/>
          <w:bCs/>
        </w:rPr>
        <w:t xml:space="preserve"> lettre n’a été mise en cause</w:t>
      </w:r>
      <w:r w:rsidR="001A62BC" w:rsidRPr="001A62BC">
        <w:t xml:space="preserve">. </w:t>
      </w:r>
    </w:p>
    <w:p w14:paraId="3CF16BAF" w14:textId="12331E1C" w:rsidR="001A62BC" w:rsidRPr="001A62BC" w:rsidRDefault="001A62BC" w:rsidP="001A62BC">
      <w:pPr>
        <w:rPr>
          <w:b/>
          <w:bCs/>
        </w:rPr>
      </w:pPr>
      <w:r w:rsidRPr="001A62BC">
        <w:rPr>
          <w:b/>
          <w:bCs/>
        </w:rPr>
        <w:t xml:space="preserve">Cet article demeure sans contradiction et, ayant été publié dans </w:t>
      </w:r>
      <w:r w:rsidRPr="001A62BC">
        <w:rPr>
          <w:b/>
          <w:bCs/>
          <w:i/>
          <w:iCs/>
        </w:rPr>
        <w:t>JAMA</w:t>
      </w:r>
      <w:r w:rsidRPr="001A62BC">
        <w:rPr>
          <w:b/>
          <w:bCs/>
        </w:rPr>
        <w:t>, continue d’être pris très au sérieux.</w:t>
      </w:r>
    </w:p>
    <w:p w14:paraId="50F1C03F" w14:textId="77777777" w:rsidR="00EB6613" w:rsidRDefault="00EB6613" w:rsidP="001A62BC"/>
    <w:p w14:paraId="14BCFC62" w14:textId="65AA6BDE" w:rsidR="001A62BC" w:rsidRPr="001A62BC" w:rsidRDefault="001A62BC" w:rsidP="001A62BC">
      <w:r w:rsidRPr="001A62BC">
        <w:t>Lorsqu</w:t>
      </w:r>
      <w:r w:rsidR="00EF5F58">
        <w:t xml:space="preserve">e Cohn </w:t>
      </w:r>
      <w:r w:rsidR="007F33E7">
        <w:t xml:space="preserve">a </w:t>
      </w:r>
      <w:r w:rsidRPr="001A62BC">
        <w:t xml:space="preserve">soumis une version modifiée de </w:t>
      </w:r>
      <w:r w:rsidR="007F33E7">
        <w:t>s</w:t>
      </w:r>
      <w:r w:rsidRPr="001A62BC">
        <w:t>a lettre à u</w:t>
      </w:r>
      <w:r w:rsidR="007F33E7">
        <w:t>n autre journal</w:t>
      </w:r>
      <w:r w:rsidR="00EF5F58">
        <w:t>,</w:t>
      </w:r>
      <w:r w:rsidR="007F33E7">
        <w:t xml:space="preserve"> </w:t>
      </w:r>
      <w:r w:rsidRPr="001A62BC">
        <w:t>cel</w:t>
      </w:r>
      <w:r w:rsidR="00C205F9">
        <w:t>ui</w:t>
      </w:r>
      <w:r w:rsidRPr="001A62BC">
        <w:t xml:space="preserve">-ci </w:t>
      </w:r>
      <w:r w:rsidR="00C205F9">
        <w:t xml:space="preserve">lui </w:t>
      </w:r>
      <w:r w:rsidRPr="001A62BC">
        <w:t xml:space="preserve">a répondu que le contenu serait plus approprié pour </w:t>
      </w:r>
      <w:r w:rsidRPr="001A62BC">
        <w:rPr>
          <w:i/>
          <w:iCs/>
        </w:rPr>
        <w:t>JAMA</w:t>
      </w:r>
      <w:r w:rsidRPr="001A62BC">
        <w:t xml:space="preserve">. La lettre originale figure en annexe </w:t>
      </w:r>
      <w:r w:rsidR="00C205F9">
        <w:t xml:space="preserve">A </w:t>
      </w:r>
      <w:r w:rsidRPr="001A62BC">
        <w:t xml:space="preserve">de </w:t>
      </w:r>
      <w:r w:rsidR="00BB3626">
        <w:t xml:space="preserve">ce présent </w:t>
      </w:r>
      <w:r w:rsidRPr="001A62BC">
        <w:t>article</w:t>
      </w:r>
      <w:r w:rsidR="00DB6743">
        <w:t xml:space="preserve"> (</w:t>
      </w:r>
      <w:proofErr w:type="spellStart"/>
      <w:r w:rsidR="00DB6743">
        <w:fldChar w:fldCharType="begin"/>
      </w:r>
      <w:r w:rsidR="006F013B">
        <w:instrText>HYPERLINK "https://journalofcontroversialideas.org/article/5/2/298/htm"</w:instrText>
      </w:r>
      <w:r w:rsidR="00DB6743">
        <w:fldChar w:fldCharType="separate"/>
      </w:r>
      <w:r w:rsidR="00DB6743" w:rsidRPr="00BA08D4">
        <w:rPr>
          <w:rStyle w:val="Lienhypertexte"/>
        </w:rPr>
        <w:t>Censorship</w:t>
      </w:r>
      <w:proofErr w:type="spellEnd"/>
      <w:r w:rsidR="00DB6743" w:rsidRPr="00BA08D4">
        <w:rPr>
          <w:rStyle w:val="Lienhypertexte"/>
        </w:rPr>
        <w:t xml:space="preserve"> of Essential </w:t>
      </w:r>
      <w:proofErr w:type="spellStart"/>
      <w:r w:rsidR="00DB6743" w:rsidRPr="00BA08D4">
        <w:rPr>
          <w:rStyle w:val="Lienhypertexte"/>
        </w:rPr>
        <w:t>Debate</w:t>
      </w:r>
      <w:proofErr w:type="spellEnd"/>
      <w:r w:rsidR="00DB6743" w:rsidRPr="00BA08D4">
        <w:rPr>
          <w:rStyle w:val="Lienhypertexte"/>
        </w:rPr>
        <w:t xml:space="preserve"> in </w:t>
      </w:r>
      <w:proofErr w:type="spellStart"/>
      <w:r w:rsidR="00DB6743" w:rsidRPr="00BA08D4">
        <w:rPr>
          <w:rStyle w:val="Lienhypertexte"/>
        </w:rPr>
        <w:t>Gender</w:t>
      </w:r>
      <w:proofErr w:type="spellEnd"/>
      <w:r w:rsidR="00DB6743" w:rsidRPr="00BA08D4">
        <w:rPr>
          <w:rStyle w:val="Lienhypertexte"/>
        </w:rPr>
        <w:t xml:space="preserve"> </w:t>
      </w:r>
      <w:proofErr w:type="spellStart"/>
      <w:r w:rsidR="00DB6743" w:rsidRPr="00BA08D4">
        <w:rPr>
          <w:rStyle w:val="Lienhypertexte"/>
        </w:rPr>
        <w:t>Medicine</w:t>
      </w:r>
      <w:proofErr w:type="spellEnd"/>
      <w:r w:rsidR="00DB6743" w:rsidRPr="00BA08D4">
        <w:rPr>
          <w:rStyle w:val="Lienhypertexte"/>
        </w:rPr>
        <w:t xml:space="preserve"> </w:t>
      </w:r>
      <w:proofErr w:type="spellStart"/>
      <w:r w:rsidR="00DB6743" w:rsidRPr="00BA08D4">
        <w:rPr>
          <w:rStyle w:val="Lienhypertexte"/>
        </w:rPr>
        <w:t>Research</w:t>
      </w:r>
      <w:proofErr w:type="spellEnd"/>
      <w:r w:rsidR="00DB6743">
        <w:fldChar w:fldCharType="end"/>
      </w:r>
      <w:r w:rsidR="00DB6743">
        <w:t>)</w:t>
      </w:r>
      <w:r w:rsidR="00EF5F58">
        <w:t>.</w:t>
      </w:r>
    </w:p>
    <w:p w14:paraId="79886138" w14:textId="77777777" w:rsidR="00543229" w:rsidRDefault="00543229" w:rsidP="00942A49"/>
    <w:p w14:paraId="1F72290F" w14:textId="3C452209" w:rsidR="00543229" w:rsidRDefault="00F30C9C" w:rsidP="00543229">
      <w:pPr>
        <w:pStyle w:val="Titre2"/>
      </w:pPr>
      <w:bookmarkStart w:id="13" w:name="_Toc217928617"/>
      <w:r>
        <w:t>3</w:t>
      </w:r>
      <w:r w:rsidR="00543229" w:rsidRPr="00543229">
        <w:t xml:space="preserve">. </w:t>
      </w:r>
      <w:r w:rsidR="00CA6757">
        <w:t>Ensemble de la littérature</w:t>
      </w:r>
      <w:bookmarkEnd w:id="13"/>
    </w:p>
    <w:p w14:paraId="2532B721" w14:textId="4C6DBD69" w:rsidR="00FC6C5B" w:rsidRPr="00F30C9C" w:rsidRDefault="00F30C9C" w:rsidP="00F51227">
      <w:pPr>
        <w:pStyle w:val="Titre3"/>
        <w:rPr>
          <w:i/>
          <w:iCs/>
        </w:rPr>
      </w:pPr>
      <w:bookmarkStart w:id="14" w:name="_Toc217928618"/>
      <w:r>
        <w:t>3</w:t>
      </w:r>
      <w:r w:rsidR="0094724F">
        <w:t xml:space="preserve">.1. </w:t>
      </w:r>
      <w:r w:rsidR="00FC6C5B" w:rsidRPr="00F51227">
        <w:t xml:space="preserve">Concernant le </w:t>
      </w:r>
      <w:r w:rsidR="00FC6C5B" w:rsidRPr="00F30C9C">
        <w:rPr>
          <w:i/>
          <w:iCs/>
        </w:rPr>
        <w:t xml:space="preserve">NEJM </w:t>
      </w:r>
      <w:r w:rsidR="00FC6C5B" w:rsidRPr="00F51227">
        <w:t>(</w:t>
      </w:r>
      <w:r w:rsidR="00FC6C5B" w:rsidRPr="00F30C9C">
        <w:rPr>
          <w:i/>
          <w:iCs/>
        </w:rPr>
        <w:t xml:space="preserve">New </w:t>
      </w:r>
      <w:proofErr w:type="spellStart"/>
      <w:r w:rsidR="00FC6C5B" w:rsidRPr="00F30C9C">
        <w:rPr>
          <w:i/>
          <w:iCs/>
        </w:rPr>
        <w:t>England</w:t>
      </w:r>
      <w:proofErr w:type="spellEnd"/>
      <w:r w:rsidR="00FC6C5B" w:rsidRPr="00F30C9C">
        <w:rPr>
          <w:i/>
          <w:iCs/>
        </w:rPr>
        <w:t xml:space="preserve"> Journal of </w:t>
      </w:r>
      <w:proofErr w:type="spellStart"/>
      <w:r w:rsidR="00FC6C5B" w:rsidRPr="00F30C9C">
        <w:rPr>
          <w:i/>
          <w:iCs/>
        </w:rPr>
        <w:t>Medicine</w:t>
      </w:r>
      <w:proofErr w:type="spellEnd"/>
      <w:r w:rsidR="00FC6C5B" w:rsidRPr="00F51227">
        <w:t xml:space="preserve">) et </w:t>
      </w:r>
      <w:r w:rsidR="00FC6C5B" w:rsidRPr="00F30C9C">
        <w:rPr>
          <w:i/>
          <w:iCs/>
        </w:rPr>
        <w:t xml:space="preserve">JAMA </w:t>
      </w:r>
      <w:proofErr w:type="spellStart"/>
      <w:r w:rsidR="00FC6C5B" w:rsidRPr="00F30C9C">
        <w:rPr>
          <w:i/>
          <w:iCs/>
        </w:rPr>
        <w:t>gender-affirming</w:t>
      </w:r>
      <w:proofErr w:type="spellEnd"/>
      <w:r w:rsidR="00FC6C5B" w:rsidRPr="00F30C9C">
        <w:rPr>
          <w:i/>
          <w:iCs/>
        </w:rPr>
        <w:t xml:space="preserve"> </w:t>
      </w:r>
      <w:proofErr w:type="spellStart"/>
      <w:r w:rsidR="00FC6C5B" w:rsidRPr="00F30C9C">
        <w:rPr>
          <w:i/>
          <w:iCs/>
        </w:rPr>
        <w:t>surgery</w:t>
      </w:r>
      <w:bookmarkEnd w:id="14"/>
      <w:proofErr w:type="spellEnd"/>
      <w:r w:rsidR="00FC6C5B" w:rsidRPr="00F30C9C">
        <w:rPr>
          <w:i/>
          <w:iCs/>
        </w:rPr>
        <w:t xml:space="preserve"> </w:t>
      </w:r>
    </w:p>
    <w:p w14:paraId="1793B45F" w14:textId="66834784" w:rsidR="00877311" w:rsidRDefault="00877311" w:rsidP="0033596A">
      <w:r>
        <w:t xml:space="preserve">Cohn s’est demandé si </w:t>
      </w:r>
      <w:r w:rsidRPr="00877311">
        <w:t xml:space="preserve">les erreurs </w:t>
      </w:r>
      <w:r>
        <w:t xml:space="preserve">qu’il avait </w:t>
      </w:r>
      <w:r w:rsidR="00924946">
        <w:t xml:space="preserve">relevées dans le </w:t>
      </w:r>
      <w:r w:rsidR="00924946" w:rsidRPr="006C2B2A">
        <w:rPr>
          <w:i/>
          <w:iCs/>
        </w:rPr>
        <w:t xml:space="preserve">NEJM </w:t>
      </w:r>
      <w:r w:rsidR="00924946">
        <w:t xml:space="preserve">et </w:t>
      </w:r>
      <w:r w:rsidR="00924946" w:rsidRPr="006C2B2A">
        <w:rPr>
          <w:i/>
          <w:iCs/>
        </w:rPr>
        <w:t>JAMA</w:t>
      </w:r>
      <w:r>
        <w:t xml:space="preserve"> </w:t>
      </w:r>
      <w:r w:rsidRPr="00877311">
        <w:t xml:space="preserve">étaient isolées. </w:t>
      </w:r>
      <w:r>
        <w:t xml:space="preserve">Il a voulu vérifier si c’était le cas, en faisant </w:t>
      </w:r>
      <w:r w:rsidR="00B36E4D" w:rsidRPr="00B36E4D">
        <w:t>une recherche effectuée en février 202</w:t>
      </w:r>
      <w:r w:rsidR="00B36E4D">
        <w:t>5</w:t>
      </w:r>
      <w:r w:rsidR="00B36E4D" w:rsidRPr="00B36E4D">
        <w:t xml:space="preserve"> dans les publications de </w:t>
      </w:r>
      <w:r w:rsidR="00B36E4D" w:rsidRPr="00B36E4D">
        <w:rPr>
          <w:i/>
          <w:iCs/>
        </w:rPr>
        <w:t>JAMA</w:t>
      </w:r>
      <w:r w:rsidR="00B36E4D" w:rsidRPr="00B36E4D">
        <w:t xml:space="preserve"> et du </w:t>
      </w:r>
      <w:r w:rsidR="00B36E4D" w:rsidRPr="00B36E4D">
        <w:rPr>
          <w:i/>
          <w:iCs/>
        </w:rPr>
        <w:t>NEJM</w:t>
      </w:r>
      <w:r w:rsidR="00924946">
        <w:t>, avec les mots clés « </w:t>
      </w:r>
      <w:proofErr w:type="spellStart"/>
      <w:r w:rsidR="00924946" w:rsidRPr="00924946">
        <w:t>gender-affirming</w:t>
      </w:r>
      <w:proofErr w:type="spellEnd"/>
      <w:r w:rsidR="00924946">
        <w:t> ».</w:t>
      </w:r>
    </w:p>
    <w:p w14:paraId="455932A3" w14:textId="77777777" w:rsidR="00134EE0" w:rsidRPr="0033596A" w:rsidRDefault="00134EE0" w:rsidP="0033596A"/>
    <w:p w14:paraId="2B8B16E6" w14:textId="19C4C687" w:rsidR="00950493" w:rsidRPr="00134EE0" w:rsidRDefault="00950493" w:rsidP="00F30C9C">
      <w:pPr>
        <w:pStyle w:val="Titre4"/>
        <w:rPr>
          <w:lang w:val="en-US"/>
        </w:rPr>
      </w:pPr>
      <w:proofErr w:type="spellStart"/>
      <w:r w:rsidRPr="00134EE0">
        <w:rPr>
          <w:lang w:val="en-US"/>
        </w:rPr>
        <w:t>Concernant</w:t>
      </w:r>
      <w:proofErr w:type="spellEnd"/>
      <w:r w:rsidRPr="00134EE0">
        <w:rPr>
          <w:lang w:val="en-US"/>
        </w:rPr>
        <w:t xml:space="preserve"> le </w:t>
      </w:r>
      <w:r w:rsidRPr="00632BE9">
        <w:rPr>
          <w:i/>
          <w:iCs w:val="0"/>
          <w:lang w:val="en-US"/>
        </w:rPr>
        <w:t>NEJM</w:t>
      </w:r>
      <w:r w:rsidR="00056A18" w:rsidRPr="00632BE9">
        <w:rPr>
          <w:i/>
          <w:iCs w:val="0"/>
          <w:lang w:val="en-US"/>
        </w:rPr>
        <w:t xml:space="preserve"> </w:t>
      </w:r>
      <w:r w:rsidR="00056A18" w:rsidRPr="00134EE0">
        <w:rPr>
          <w:lang w:val="en-US"/>
        </w:rPr>
        <w:t>(</w:t>
      </w:r>
      <w:r w:rsidR="00056A18" w:rsidRPr="00F30C9C">
        <w:rPr>
          <w:i/>
          <w:iCs w:val="0"/>
          <w:lang w:val="en-US"/>
        </w:rPr>
        <w:t>New England Journal of Medicine</w:t>
      </w:r>
      <w:r w:rsidR="00056A18" w:rsidRPr="00134EE0">
        <w:rPr>
          <w:lang w:val="en-US"/>
        </w:rPr>
        <w:t>)</w:t>
      </w:r>
    </w:p>
    <w:p w14:paraId="04A3004A" w14:textId="1701BA3B" w:rsidR="00950493" w:rsidRPr="00950493" w:rsidRDefault="00056A18" w:rsidP="00056A18">
      <w:pPr>
        <w:pStyle w:val="Paragraphedeliste"/>
        <w:numPr>
          <w:ilvl w:val="0"/>
          <w:numId w:val="21"/>
        </w:numPr>
        <w:ind w:left="357" w:hanging="357"/>
      </w:pPr>
      <w:r>
        <w:rPr>
          <w:b/>
          <w:bCs/>
        </w:rPr>
        <w:t>D</w:t>
      </w:r>
      <w:r w:rsidR="00950493" w:rsidRPr="00056A18">
        <w:rPr>
          <w:b/>
          <w:bCs/>
        </w:rPr>
        <w:t>es affirmations fortes et non étayées</w:t>
      </w:r>
      <w:r w:rsidR="00950493" w:rsidRPr="00950493">
        <w:t xml:space="preserve"> (bénéfices établis, amélioration de la santé mentale, caractère « salvateur », faibles taux de regret, etc.) </w:t>
      </w:r>
      <w:r w:rsidR="00950493" w:rsidRPr="00056A18">
        <w:rPr>
          <w:b/>
          <w:bCs/>
        </w:rPr>
        <w:t>se répètent</w:t>
      </w:r>
      <w:r w:rsidR="00950493" w:rsidRPr="00950493">
        <w:t xml:space="preserve"> dans plusieurs articles du </w:t>
      </w:r>
      <w:r w:rsidR="00950493" w:rsidRPr="00056A18">
        <w:rPr>
          <w:i/>
          <w:iCs/>
        </w:rPr>
        <w:t>NEJM</w:t>
      </w:r>
      <w:r w:rsidR="00950493" w:rsidRPr="00950493">
        <w:t>.</w:t>
      </w:r>
    </w:p>
    <w:p w14:paraId="7C4ED8AB" w14:textId="33DB7749" w:rsidR="00950493" w:rsidRPr="00950493" w:rsidRDefault="00950493" w:rsidP="00056A18">
      <w:pPr>
        <w:pStyle w:val="Paragraphedeliste"/>
        <w:numPr>
          <w:ilvl w:val="0"/>
          <w:numId w:val="21"/>
        </w:numPr>
        <w:ind w:left="357" w:hanging="357"/>
      </w:pPr>
      <w:r w:rsidRPr="00950493">
        <w:t xml:space="preserve">Ces affirmations reposent souvent sur </w:t>
      </w:r>
      <w:r w:rsidRPr="00056A18">
        <w:rPr>
          <w:b/>
          <w:bCs/>
        </w:rPr>
        <w:t>des associations observationnelles</w:t>
      </w:r>
      <w:r w:rsidRPr="00950493">
        <w:t xml:space="preserve">, présentées </w:t>
      </w:r>
      <w:r w:rsidRPr="00056A18">
        <w:rPr>
          <w:b/>
          <w:bCs/>
        </w:rPr>
        <w:t>comme si elles prouvaient une causalité</w:t>
      </w:r>
      <w:r w:rsidR="00310A2E" w:rsidRPr="00056A18">
        <w:rPr>
          <w:b/>
          <w:bCs/>
        </w:rPr>
        <w:t xml:space="preserve"> </w:t>
      </w:r>
      <w:r w:rsidR="00310A2E" w:rsidRPr="00310A2E">
        <w:t xml:space="preserve">(de Vries et </w:t>
      </w:r>
      <w:proofErr w:type="spellStart"/>
      <w:r w:rsidR="00310A2E" w:rsidRPr="00310A2E">
        <w:t>Hannema</w:t>
      </w:r>
      <w:proofErr w:type="spellEnd"/>
      <w:r w:rsidR="00310A2E" w:rsidRPr="00310A2E">
        <w:t xml:space="preserve">, </w:t>
      </w:r>
      <w:hyperlink r:id="rId92" w:tooltip="Growing evidence and remaining questions in adolescent transgender care" w:history="1">
        <w:r w:rsidR="00310A2E" w:rsidRPr="00310A2E">
          <w:rPr>
            <w:rStyle w:val="Lienhypertexte"/>
          </w:rPr>
          <w:t>2023</w:t>
        </w:r>
      </w:hyperlink>
      <w:r w:rsidR="00310A2E" w:rsidRPr="00310A2E">
        <w:t>)</w:t>
      </w:r>
      <w:r w:rsidRPr="00950493">
        <w:t>.</w:t>
      </w:r>
    </w:p>
    <w:p w14:paraId="77DB0464" w14:textId="1AC5C2C5" w:rsidR="00950493" w:rsidRPr="00950493" w:rsidRDefault="00950493" w:rsidP="00056A18">
      <w:pPr>
        <w:pStyle w:val="Paragraphedeliste"/>
        <w:numPr>
          <w:ilvl w:val="0"/>
          <w:numId w:val="21"/>
        </w:numPr>
        <w:ind w:left="357" w:hanging="357"/>
      </w:pPr>
      <w:r w:rsidRPr="00950493">
        <w:lastRenderedPageBreak/>
        <w:t xml:space="preserve">Quand des </w:t>
      </w:r>
      <w:r w:rsidRPr="00056A18">
        <w:rPr>
          <w:b/>
          <w:bCs/>
        </w:rPr>
        <w:t>lettres critiques</w:t>
      </w:r>
      <w:r w:rsidRPr="00950493">
        <w:t xml:space="preserve"> sont publiées (ex. </w:t>
      </w:r>
      <w:hyperlink r:id="rId93" w:history="1">
        <w:r w:rsidR="00A41BE6" w:rsidRPr="005B0475">
          <w:rPr>
            <w:rStyle w:val="Lienhypertexte"/>
          </w:rPr>
          <w:t>ensemble de lettres à l’éditeur</w:t>
        </w:r>
      </w:hyperlink>
      <w:r w:rsidRPr="00950493">
        <w:t xml:space="preserve"> sur l’étude de Chen</w:t>
      </w:r>
      <w:r w:rsidR="00A41BE6">
        <w:t xml:space="preserve"> et al., </w:t>
      </w:r>
      <w:hyperlink r:id="rId94" w:tooltip="Psychosocial functioning in transgender youth after 2 years of hormones" w:history="1">
        <w:r w:rsidR="00A41BE6" w:rsidRPr="009A130B">
          <w:rPr>
            <w:rStyle w:val="Lienhypertexte"/>
          </w:rPr>
          <w:t>2023</w:t>
        </w:r>
      </w:hyperlink>
      <w:r w:rsidRPr="00950493">
        <w:t xml:space="preserve">), elles restent </w:t>
      </w:r>
      <w:r w:rsidRPr="00056A18">
        <w:rPr>
          <w:b/>
          <w:bCs/>
        </w:rPr>
        <w:t>exceptionnelles</w:t>
      </w:r>
      <w:r w:rsidRPr="00950493">
        <w:t xml:space="preserve"> et ciblent un article précis, sans corriger le </w:t>
      </w:r>
      <w:r w:rsidRPr="00056A18">
        <w:rPr>
          <w:b/>
          <w:bCs/>
        </w:rPr>
        <w:t>discours général</w:t>
      </w:r>
      <w:r w:rsidRPr="00950493">
        <w:t>.</w:t>
      </w:r>
    </w:p>
    <w:p w14:paraId="2D15F29D" w14:textId="03D9B092" w:rsidR="00796DA7" w:rsidRPr="00543229" w:rsidRDefault="00950493" w:rsidP="00056A18">
      <w:pPr>
        <w:pStyle w:val="Paragraphedeliste"/>
        <w:numPr>
          <w:ilvl w:val="0"/>
          <w:numId w:val="21"/>
        </w:numPr>
        <w:ind w:left="357" w:hanging="357"/>
      </w:pPr>
      <w:r w:rsidRPr="00950493">
        <w:t xml:space="preserve">Le </w:t>
      </w:r>
      <w:r w:rsidRPr="00632BE9">
        <w:rPr>
          <w:i/>
          <w:iCs/>
        </w:rPr>
        <w:t>NEJM</w:t>
      </w:r>
      <w:r w:rsidRPr="00950493">
        <w:t xml:space="preserve"> a peu couvert la </w:t>
      </w:r>
      <w:r w:rsidRPr="00056A18">
        <w:rPr>
          <w:b/>
          <w:bCs/>
        </w:rPr>
        <w:t>Cass Review</w:t>
      </w:r>
      <w:r w:rsidRPr="00950493">
        <w:t xml:space="preserve"> ; l’unique article notable était un </w:t>
      </w:r>
      <w:r w:rsidRPr="00056A18">
        <w:rPr>
          <w:i/>
          <w:iCs/>
        </w:rPr>
        <w:t>Perspective</w:t>
      </w:r>
      <w:r w:rsidRPr="00950493">
        <w:t xml:space="preserve"> </w:t>
      </w:r>
      <w:r w:rsidRPr="00056A18">
        <w:rPr>
          <w:b/>
          <w:bCs/>
        </w:rPr>
        <w:t>critique</w:t>
      </w:r>
      <w:r w:rsidR="00796DA7" w:rsidRPr="00056A18">
        <w:rPr>
          <w:b/>
          <w:bCs/>
        </w:rPr>
        <w:t xml:space="preserve"> du Cass Review </w:t>
      </w:r>
      <w:r w:rsidR="00796DA7" w:rsidRPr="000D2BD6">
        <w:t>(</w:t>
      </w:r>
      <w:r w:rsidR="00796DA7" w:rsidRPr="00543229">
        <w:t xml:space="preserve">Aaron &amp; </w:t>
      </w:r>
      <w:proofErr w:type="spellStart"/>
      <w:r w:rsidR="00796DA7" w:rsidRPr="00543229">
        <w:t>Konnoth</w:t>
      </w:r>
      <w:proofErr w:type="spellEnd"/>
      <w:r w:rsidR="00796DA7" w:rsidRPr="00543229">
        <w:t xml:space="preserve">, </w:t>
      </w:r>
      <w:hyperlink r:id="rId95" w:tooltip="The future of gender-affirming care – A law and policy perspective on the Cass Review" w:history="1">
        <w:r w:rsidR="00796DA7" w:rsidRPr="00543229">
          <w:rPr>
            <w:rStyle w:val="Lienhypertexte"/>
          </w:rPr>
          <w:t>2025</w:t>
        </w:r>
      </w:hyperlink>
      <w:r w:rsidR="00796DA7" w:rsidRPr="00543229">
        <w:t>)</w:t>
      </w:r>
      <w:r w:rsidRPr="00950493">
        <w:t xml:space="preserve">, reprenant des arguments </w:t>
      </w:r>
      <w:r w:rsidRPr="00056A18">
        <w:rPr>
          <w:b/>
          <w:bCs/>
        </w:rPr>
        <w:t>déjà réfutés</w:t>
      </w:r>
      <w:r w:rsidRPr="00950493">
        <w:t xml:space="preserve"> </w:t>
      </w:r>
      <w:r w:rsidR="000D2BD6">
        <w:t xml:space="preserve">par </w:t>
      </w:r>
      <w:r w:rsidR="000D2BD6" w:rsidRPr="002F5534">
        <w:t xml:space="preserve">Cheung et al., </w:t>
      </w:r>
      <w:hyperlink r:id="rId96" w:tooltip="Gender medicine and the Cass Review: Why medicine and the law make poor bedfellows" w:history="1">
        <w:r w:rsidR="000D2BD6" w:rsidRPr="002F5534">
          <w:rPr>
            <w:rStyle w:val="Lienhypertexte"/>
          </w:rPr>
          <w:t>2025</w:t>
        </w:r>
      </w:hyperlink>
      <w:r w:rsidR="00796DA7" w:rsidRPr="00543229">
        <w:t xml:space="preserve"> trois mois avant sa publication.</w:t>
      </w:r>
    </w:p>
    <w:p w14:paraId="41A43891" w14:textId="77777777" w:rsidR="00950493" w:rsidRDefault="00950493" w:rsidP="00543229"/>
    <w:p w14:paraId="3E80F5CA" w14:textId="74622C48" w:rsidR="0033596A" w:rsidRPr="005C3485" w:rsidRDefault="00056A18" w:rsidP="00F30C9C">
      <w:pPr>
        <w:pStyle w:val="Titre4"/>
      </w:pPr>
      <w:r w:rsidRPr="00134EE0">
        <w:t xml:space="preserve">Concernant </w:t>
      </w:r>
      <w:r w:rsidRPr="00F30C9C">
        <w:rPr>
          <w:i/>
          <w:iCs w:val="0"/>
        </w:rPr>
        <w:t xml:space="preserve">JAMA </w:t>
      </w:r>
      <w:proofErr w:type="spellStart"/>
      <w:r w:rsidRPr="00F30C9C">
        <w:rPr>
          <w:i/>
          <w:iCs w:val="0"/>
        </w:rPr>
        <w:t>gender-affirming</w:t>
      </w:r>
      <w:proofErr w:type="spellEnd"/>
      <w:r w:rsidRPr="00F30C9C">
        <w:rPr>
          <w:i/>
          <w:iCs w:val="0"/>
        </w:rPr>
        <w:t xml:space="preserve"> </w:t>
      </w:r>
      <w:proofErr w:type="spellStart"/>
      <w:r w:rsidRPr="00F30C9C">
        <w:rPr>
          <w:i/>
          <w:iCs w:val="0"/>
        </w:rPr>
        <w:t>surgery</w:t>
      </w:r>
      <w:proofErr w:type="spellEnd"/>
      <w:r w:rsidRPr="005C3485">
        <w:t xml:space="preserve"> </w:t>
      </w:r>
    </w:p>
    <w:p w14:paraId="1907B90B" w14:textId="77777777" w:rsidR="00AA37C0" w:rsidRDefault="00C21239" w:rsidP="009D0EAD">
      <w:pPr>
        <w:pStyle w:val="Paragraphedeliste"/>
        <w:numPr>
          <w:ilvl w:val="0"/>
          <w:numId w:val="21"/>
        </w:numPr>
        <w:ind w:left="357" w:hanging="357"/>
      </w:pPr>
      <w:r w:rsidRPr="0050507D">
        <w:rPr>
          <w:b/>
          <w:bCs/>
        </w:rPr>
        <w:t>U</w:t>
      </w:r>
      <w:r w:rsidR="00056A18" w:rsidRPr="0050507D">
        <w:rPr>
          <w:b/>
          <w:bCs/>
        </w:rPr>
        <w:t>n seul cas</w:t>
      </w:r>
      <w:r w:rsidR="00056A18" w:rsidRPr="00056A18">
        <w:t xml:space="preserve"> où les incertitudes et la prudence internationale croissante étaient mentionnées</w:t>
      </w:r>
      <w:r w:rsidR="00A9456D">
        <w:t xml:space="preserve">, </w:t>
      </w:r>
      <w:r w:rsidR="00056A18" w:rsidRPr="00056A18">
        <w:t xml:space="preserve"> </w:t>
      </w:r>
      <w:r>
        <w:t xml:space="preserve">mais uniquement dans </w:t>
      </w:r>
      <w:r w:rsidR="00056A18" w:rsidRPr="00056A18">
        <w:t xml:space="preserve">une </w:t>
      </w:r>
      <w:proofErr w:type="spellStart"/>
      <w:r w:rsidR="00056A18" w:rsidRPr="005C3485">
        <w:rPr>
          <w:b/>
          <w:bCs/>
          <w:i/>
          <w:iCs/>
        </w:rPr>
        <w:t>Letter</w:t>
      </w:r>
      <w:proofErr w:type="spellEnd"/>
      <w:r w:rsidR="00056A18" w:rsidRPr="005C3485">
        <w:rPr>
          <w:b/>
          <w:bCs/>
          <w:i/>
          <w:iCs/>
        </w:rPr>
        <w:t xml:space="preserve"> to the Editor</w:t>
      </w:r>
      <w:r w:rsidR="00056A18" w:rsidRPr="00056A18">
        <w:t xml:space="preserve"> (Hunter, </w:t>
      </w:r>
      <w:hyperlink r:id="rId97" w:tooltip="Political issues surrounding gender-affirming care for transgender youth" w:history="1">
        <w:r w:rsidR="00056A18" w:rsidRPr="00056A18">
          <w:rPr>
            <w:rStyle w:val="Lienhypertexte"/>
          </w:rPr>
          <w:t>2022</w:t>
        </w:r>
      </w:hyperlink>
      <w:r w:rsidR="00056A18" w:rsidRPr="00056A18">
        <w:t xml:space="preserve">), en réponse à un article affirmant de façon inexacte que « </w:t>
      </w:r>
      <w:r w:rsidR="00056A18" w:rsidRPr="000F3C81">
        <w:rPr>
          <w:i/>
          <w:iCs/>
        </w:rPr>
        <w:t xml:space="preserve">l’accès aux soins d’affirmation de genre améliore clairement les résultats de santé </w:t>
      </w:r>
      <w:r w:rsidR="00056A18" w:rsidRPr="00056A18">
        <w:t xml:space="preserve">» (Park et al., </w:t>
      </w:r>
      <w:hyperlink r:id="rId98" w:tooltip="Increasing criminalization of gender-affirming care for transgender youths – a politically motivated crisis" w:history="1">
        <w:r w:rsidR="00056A18" w:rsidRPr="00056A18">
          <w:rPr>
            <w:rStyle w:val="Lienhypertexte"/>
          </w:rPr>
          <w:t>2021</w:t>
        </w:r>
      </w:hyperlink>
      <w:r w:rsidR="00056A18" w:rsidRPr="00056A18">
        <w:t>).</w:t>
      </w:r>
    </w:p>
    <w:p w14:paraId="01B617F0" w14:textId="77777777" w:rsidR="00104428" w:rsidRDefault="00056A18" w:rsidP="009D0EAD">
      <w:pPr>
        <w:pStyle w:val="Paragraphedeliste"/>
        <w:numPr>
          <w:ilvl w:val="0"/>
          <w:numId w:val="21"/>
        </w:numPr>
        <w:ind w:left="357" w:hanging="357"/>
      </w:pPr>
      <w:r w:rsidRPr="00056A18">
        <w:t xml:space="preserve">Plusieurs articles </w:t>
      </w:r>
      <w:r w:rsidRPr="0050507D">
        <w:rPr>
          <w:b/>
          <w:bCs/>
        </w:rPr>
        <w:t>affirmant l’existence de bénéfices établis</w:t>
      </w:r>
      <w:r w:rsidRPr="00056A18">
        <w:t xml:space="preserve"> ou de faibles taux de regret</w:t>
      </w:r>
      <w:r w:rsidR="00EC6F5E">
        <w:t>.</w:t>
      </w:r>
    </w:p>
    <w:p w14:paraId="6413B6B8" w14:textId="52812BC5" w:rsidR="00056A18" w:rsidRDefault="00134EE0" w:rsidP="009D0EAD">
      <w:pPr>
        <w:pStyle w:val="Paragraphedeliste"/>
        <w:numPr>
          <w:ilvl w:val="0"/>
          <w:numId w:val="21"/>
        </w:numPr>
        <w:ind w:left="357" w:hanging="357"/>
      </w:pPr>
      <w:r w:rsidRPr="00104428">
        <w:rPr>
          <w:b/>
          <w:bCs/>
        </w:rPr>
        <w:t>Mais :</w:t>
      </w:r>
      <w:r>
        <w:t xml:space="preserve"> </w:t>
      </w:r>
      <w:r w:rsidR="00056A18" w:rsidRPr="00056A18">
        <w:t xml:space="preserve"> tournant notable lorsque </w:t>
      </w:r>
      <w:r w:rsidR="00056A18" w:rsidRPr="00104428">
        <w:rPr>
          <w:b/>
          <w:bCs/>
          <w:i/>
          <w:iCs/>
        </w:rPr>
        <w:t>JAMA</w:t>
      </w:r>
      <w:r w:rsidR="00056A18" w:rsidRPr="00104428">
        <w:rPr>
          <w:b/>
          <w:bCs/>
        </w:rPr>
        <w:t xml:space="preserve"> a publié un </w:t>
      </w:r>
      <w:proofErr w:type="spellStart"/>
      <w:r w:rsidR="00056A18" w:rsidRPr="00104428">
        <w:rPr>
          <w:b/>
          <w:bCs/>
          <w:i/>
          <w:iCs/>
        </w:rPr>
        <w:t>Viewpoint</w:t>
      </w:r>
      <w:proofErr w:type="spellEnd"/>
      <w:r w:rsidR="00056A18" w:rsidRPr="00104428">
        <w:rPr>
          <w:b/>
          <w:bCs/>
        </w:rPr>
        <w:t xml:space="preserve"> de Gorin et al</w:t>
      </w:r>
      <w:r w:rsidR="00056A18" w:rsidRPr="00056A18">
        <w:t>. (</w:t>
      </w:r>
      <w:hyperlink r:id="rId99" w:tooltip="Toward evidence-based and ethical pediatric gender medicine" w:history="1">
        <w:r w:rsidR="00056A18" w:rsidRPr="00056A18">
          <w:rPr>
            <w:rStyle w:val="Lienhypertexte"/>
          </w:rPr>
          <w:t>2025a</w:t>
        </w:r>
      </w:hyperlink>
      <w:r w:rsidR="00056A18" w:rsidRPr="00056A18">
        <w:t xml:space="preserve">) le lendemain de la conférence « </w:t>
      </w:r>
      <w:hyperlink r:id="rId100" w:history="1">
        <w:r w:rsidR="00056A18" w:rsidRPr="0006773E">
          <w:rPr>
            <w:rStyle w:val="Lienhypertexte"/>
          </w:rPr>
          <w:t xml:space="preserve">USC </w:t>
        </w:r>
        <w:proofErr w:type="spellStart"/>
        <w:r w:rsidR="00056A18" w:rsidRPr="0006773E">
          <w:rPr>
            <w:rStyle w:val="Lienhypertexte"/>
          </w:rPr>
          <w:t>Censorship</w:t>
        </w:r>
        <w:proofErr w:type="spellEnd"/>
        <w:r w:rsidR="00056A18" w:rsidRPr="0006773E">
          <w:rPr>
            <w:rStyle w:val="Lienhypertexte"/>
          </w:rPr>
          <w:t xml:space="preserve"> in the Sciences</w:t>
        </w:r>
      </w:hyperlink>
      <w:r w:rsidR="00056A18" w:rsidRPr="00056A18">
        <w:t xml:space="preserve"> » de janvier 2025.</w:t>
      </w:r>
    </w:p>
    <w:p w14:paraId="7474CB5D" w14:textId="77777777" w:rsidR="00ED7DDF" w:rsidRDefault="00ED7DDF" w:rsidP="00ED7DDF">
      <w:pPr>
        <w:rPr>
          <w:b/>
          <w:bCs/>
        </w:rPr>
      </w:pPr>
    </w:p>
    <w:p w14:paraId="6DEC2932" w14:textId="67DE4D3C" w:rsidR="00683AEE" w:rsidRPr="00056A18" w:rsidRDefault="00F30C9C" w:rsidP="00F51227">
      <w:pPr>
        <w:pStyle w:val="Titre3"/>
      </w:pPr>
      <w:bookmarkStart w:id="15" w:name="_Toc217928619"/>
      <w:r>
        <w:t>3</w:t>
      </w:r>
      <w:r w:rsidR="0094724F">
        <w:t xml:space="preserve">.2. </w:t>
      </w:r>
      <w:r w:rsidR="00FC6C5B" w:rsidRPr="00FC6C5B">
        <w:t xml:space="preserve">Concernant </w:t>
      </w:r>
      <w:proofErr w:type="spellStart"/>
      <w:r w:rsidR="00FC6C5B" w:rsidRPr="00085267">
        <w:t>PubPeer</w:t>
      </w:r>
      <w:bookmarkEnd w:id="15"/>
      <w:proofErr w:type="spellEnd"/>
    </w:p>
    <w:p w14:paraId="0A7D0D00" w14:textId="7401BF89" w:rsidR="00775E9E" w:rsidRPr="0060074D" w:rsidRDefault="0060074D" w:rsidP="00056A18">
      <w:proofErr w:type="spellStart"/>
      <w:r w:rsidRPr="0060074D">
        <w:t>PubPeer</w:t>
      </w:r>
      <w:proofErr w:type="spellEnd"/>
      <w:r w:rsidRPr="0060074D">
        <w:t xml:space="preserve"> est une plateforme d’évaluation post-publication permettant de relier des critiques aux articles publiés et de favoriser une discussion ouverte de la recherche ; elle a reçu en 2024 un prix de la Einstein </w:t>
      </w:r>
      <w:proofErr w:type="spellStart"/>
      <w:r w:rsidRPr="0060074D">
        <w:t>Foundation</w:t>
      </w:r>
      <w:proofErr w:type="spellEnd"/>
      <w:r w:rsidRPr="0060074D">
        <w:t xml:space="preserve"> pour son travail.</w:t>
      </w:r>
    </w:p>
    <w:p w14:paraId="760D1F26" w14:textId="77777777" w:rsidR="0060074D" w:rsidRDefault="0060074D" w:rsidP="00056A18"/>
    <w:p w14:paraId="2093D902" w14:textId="460FA2AD" w:rsidR="00895D1D" w:rsidRDefault="00895D1D" w:rsidP="00056A18">
      <w:r w:rsidRPr="00895D1D">
        <w:t xml:space="preserve">Après le </w:t>
      </w:r>
      <w:r w:rsidRPr="00C2365A">
        <w:t xml:space="preserve">rejet de sa critique par le </w:t>
      </w:r>
      <w:r w:rsidRPr="00C2365A">
        <w:rPr>
          <w:i/>
          <w:iCs/>
        </w:rPr>
        <w:t>NEJM</w:t>
      </w:r>
      <w:r w:rsidR="00C2365A" w:rsidRPr="00C2365A">
        <w:rPr>
          <w:i/>
          <w:iCs/>
        </w:rPr>
        <w:t xml:space="preserve"> </w:t>
      </w:r>
      <w:r w:rsidR="00C2365A" w:rsidRPr="00C2365A">
        <w:t xml:space="preserve">concernant </w:t>
      </w:r>
      <w:hyperlink r:id="rId101" w:tooltip="NEJM Protecting Transgender Health and Challenging Science Denialism in Policy" w:history="1">
        <w:r w:rsidR="002E33FE">
          <w:rPr>
            <w:rStyle w:val="Lienhypertexte"/>
          </w:rPr>
          <w:t>l'article d'opinion de McNamara et al. (2022)</w:t>
        </w:r>
      </w:hyperlink>
      <w:r w:rsidR="0071669C">
        <w:t xml:space="preserve"> (voir section 2.3), </w:t>
      </w:r>
      <w:r>
        <w:t xml:space="preserve">Cohn a </w:t>
      </w:r>
      <w:r w:rsidRPr="00895D1D">
        <w:t>soum</w:t>
      </w:r>
      <w:r>
        <w:t>is</w:t>
      </w:r>
      <w:r w:rsidRPr="00895D1D">
        <w:t xml:space="preserve"> cette critique à </w:t>
      </w:r>
      <w:proofErr w:type="spellStart"/>
      <w:r w:rsidRPr="00895D1D">
        <w:t>PubPeer</w:t>
      </w:r>
      <w:proofErr w:type="spellEnd"/>
      <w:r w:rsidRPr="00895D1D">
        <w:t>.</w:t>
      </w:r>
      <w:r w:rsidR="00A94A4C">
        <w:t xml:space="preserve"> </w:t>
      </w:r>
      <w:r w:rsidR="00A94A4C" w:rsidRPr="00A94A4C">
        <w:t xml:space="preserve">Elle </w:t>
      </w:r>
      <w:r w:rsidR="0071669C">
        <w:t xml:space="preserve">y a été </w:t>
      </w:r>
      <w:r w:rsidR="00A94A4C" w:rsidRPr="00A94A4C">
        <w:rPr>
          <w:b/>
          <w:bCs/>
        </w:rPr>
        <w:t>acceptée et publiée rapidement</w:t>
      </w:r>
      <w:r w:rsidR="00A94A4C" w:rsidRPr="00A94A4C">
        <w:t xml:space="preserve"> (en 2 jours).</w:t>
      </w:r>
    </w:p>
    <w:p w14:paraId="1808FA92" w14:textId="32447832" w:rsidR="00312118" w:rsidRPr="00312118" w:rsidRDefault="00A94A4C" w:rsidP="00312118">
      <w:r>
        <w:t xml:space="preserve">Cohn a ensuite </w:t>
      </w:r>
      <w:r w:rsidR="00312118">
        <w:t xml:space="preserve">soumis </w:t>
      </w:r>
      <w:r w:rsidR="00312118" w:rsidRPr="00312118">
        <w:rPr>
          <w:b/>
          <w:bCs/>
        </w:rPr>
        <w:t>trois autres critiques</w:t>
      </w:r>
      <w:r w:rsidR="00312118" w:rsidRPr="00312118">
        <w:t xml:space="preserve">, qui sont </w:t>
      </w:r>
      <w:r w:rsidR="00312118" w:rsidRPr="00312118">
        <w:rPr>
          <w:b/>
          <w:bCs/>
        </w:rPr>
        <w:t xml:space="preserve">elles aussi </w:t>
      </w:r>
      <w:r w:rsidR="0071669C">
        <w:rPr>
          <w:b/>
          <w:bCs/>
        </w:rPr>
        <w:t xml:space="preserve">été </w:t>
      </w:r>
      <w:r w:rsidR="00312118" w:rsidRPr="00312118">
        <w:rPr>
          <w:b/>
          <w:bCs/>
        </w:rPr>
        <w:t>acceptées et publiées</w:t>
      </w:r>
      <w:r w:rsidR="001462DF">
        <w:rPr>
          <w:b/>
          <w:bCs/>
        </w:rPr>
        <w:t>, concernant</w:t>
      </w:r>
      <w:r w:rsidR="00312118" w:rsidRPr="00312118">
        <w:t xml:space="preserve"> :</w:t>
      </w:r>
    </w:p>
    <w:p w14:paraId="2B818251" w14:textId="037CFC6F" w:rsidR="00312118" w:rsidRPr="00312118" w:rsidRDefault="00312118" w:rsidP="009D0EAD">
      <w:pPr>
        <w:pStyle w:val="Paragraphedeliste"/>
        <w:numPr>
          <w:ilvl w:val="0"/>
          <w:numId w:val="21"/>
        </w:numPr>
        <w:ind w:left="357" w:hanging="357"/>
      </w:pPr>
      <w:r w:rsidRPr="00312118">
        <w:t xml:space="preserve">Wu &amp; </w:t>
      </w:r>
      <w:proofErr w:type="spellStart"/>
      <w:r w:rsidRPr="00312118">
        <w:t>Keuroghlian</w:t>
      </w:r>
      <w:proofErr w:type="spellEnd"/>
      <w:r w:rsidRPr="00312118">
        <w:t xml:space="preserve"> (</w:t>
      </w:r>
      <w:hyperlink r:id="rId102" w:tooltip="Moving beyond psychiatric gatekeeping for gender-affirming surgery" w:history="1">
        <w:r w:rsidRPr="00312118">
          <w:rPr>
            <w:rStyle w:val="Lienhypertexte"/>
          </w:rPr>
          <w:t>2023</w:t>
        </w:r>
      </w:hyperlink>
      <w:r w:rsidRPr="00312118">
        <w:t>),</w:t>
      </w:r>
    </w:p>
    <w:p w14:paraId="227117A6" w14:textId="46D46990" w:rsidR="00312118" w:rsidRPr="00312118" w:rsidRDefault="00312118" w:rsidP="009D0EAD">
      <w:pPr>
        <w:pStyle w:val="Paragraphedeliste"/>
        <w:numPr>
          <w:ilvl w:val="0"/>
          <w:numId w:val="21"/>
        </w:numPr>
        <w:ind w:left="357" w:hanging="357"/>
      </w:pPr>
      <w:r w:rsidRPr="00312118">
        <w:t>Chen et al. (</w:t>
      </w:r>
      <w:hyperlink r:id="rId103" w:tooltip="Psychosocial functioning in transgender youth after 2 years of hormones" w:history="1">
        <w:r w:rsidRPr="00312118">
          <w:rPr>
            <w:rStyle w:val="Lienhypertexte"/>
          </w:rPr>
          <w:t>2023</w:t>
        </w:r>
      </w:hyperlink>
      <w:r w:rsidRPr="00312118">
        <w:t>),</w:t>
      </w:r>
    </w:p>
    <w:p w14:paraId="67A4F3F3" w14:textId="14C36D5E" w:rsidR="00312118" w:rsidRPr="00312118" w:rsidRDefault="00312118" w:rsidP="009D0EAD">
      <w:pPr>
        <w:pStyle w:val="Paragraphedeliste"/>
        <w:numPr>
          <w:ilvl w:val="0"/>
          <w:numId w:val="21"/>
        </w:numPr>
        <w:ind w:left="357" w:hanging="357"/>
      </w:pPr>
      <w:proofErr w:type="spellStart"/>
      <w:r w:rsidRPr="00312118">
        <w:t>Jedrzejewski</w:t>
      </w:r>
      <w:proofErr w:type="spellEnd"/>
      <w:r w:rsidRPr="00312118">
        <w:t xml:space="preserve"> et al. (</w:t>
      </w:r>
      <w:hyperlink r:id="rId104" w:tooltip="Regret after Gender Affirming Surgery – A multidisciplinary approach to a multifaceted patient experience." w:history="1">
        <w:r w:rsidRPr="00312118">
          <w:rPr>
            <w:rStyle w:val="Lienhypertexte"/>
          </w:rPr>
          <w:t>2023</w:t>
        </w:r>
      </w:hyperlink>
      <w:r w:rsidRPr="00312118">
        <w:t>).</w:t>
      </w:r>
    </w:p>
    <w:p w14:paraId="11AF0FFC" w14:textId="3E2F9768" w:rsidR="00A94A4C" w:rsidRDefault="00A94A4C" w:rsidP="00056A18"/>
    <w:p w14:paraId="733EC2E3" w14:textId="0711F70C" w:rsidR="0005418A" w:rsidRPr="0005418A" w:rsidRDefault="0096627A" w:rsidP="0005418A">
      <w:r>
        <w:t>Mais un</w:t>
      </w:r>
      <w:r w:rsidR="0005418A" w:rsidRPr="0005418A">
        <w:rPr>
          <w:b/>
          <w:bCs/>
        </w:rPr>
        <w:t xml:space="preserve"> mois plus tard</w:t>
      </w:r>
      <w:r w:rsidR="0005418A" w:rsidRPr="0005418A">
        <w:t>, sans avertissement :</w:t>
      </w:r>
      <w:r w:rsidR="0005418A">
        <w:t xml:space="preserve"> </w:t>
      </w:r>
      <w:r w:rsidR="0005418A" w:rsidRPr="0005418A">
        <w:t xml:space="preserve">les </w:t>
      </w:r>
      <w:r w:rsidR="0005418A" w:rsidRPr="0005418A">
        <w:rPr>
          <w:b/>
          <w:bCs/>
        </w:rPr>
        <w:t>quatre critiques</w:t>
      </w:r>
      <w:r w:rsidR="0005418A" w:rsidRPr="0005418A">
        <w:t xml:space="preserve"> </w:t>
      </w:r>
      <w:r w:rsidR="0071669C">
        <w:t>ont été</w:t>
      </w:r>
      <w:r w:rsidR="0005418A" w:rsidRPr="0005418A">
        <w:t xml:space="preserve"> </w:t>
      </w:r>
      <w:r w:rsidR="0005418A" w:rsidRPr="0005418A">
        <w:rPr>
          <w:b/>
          <w:bCs/>
        </w:rPr>
        <w:t>retirées en quelques minutes</w:t>
      </w:r>
      <w:r w:rsidR="0005418A" w:rsidRPr="0005418A">
        <w:t>,</w:t>
      </w:r>
      <w:r w:rsidR="0005418A">
        <w:t xml:space="preserve"> </w:t>
      </w:r>
      <w:r w:rsidR="0005418A" w:rsidRPr="0005418A">
        <w:t xml:space="preserve">puis </w:t>
      </w:r>
      <w:r w:rsidR="0005418A" w:rsidRPr="0005418A">
        <w:rPr>
          <w:b/>
          <w:bCs/>
        </w:rPr>
        <w:t xml:space="preserve">reclassées comme </w:t>
      </w:r>
      <w:r w:rsidR="0005418A">
        <w:rPr>
          <w:b/>
          <w:bCs/>
        </w:rPr>
        <w:t>« </w:t>
      </w:r>
      <w:r w:rsidR="0005418A" w:rsidRPr="0005418A">
        <w:rPr>
          <w:b/>
          <w:bCs/>
        </w:rPr>
        <w:t>rejetées</w:t>
      </w:r>
      <w:r w:rsidR="0005418A">
        <w:rPr>
          <w:b/>
          <w:bCs/>
        </w:rPr>
        <w:t> »</w:t>
      </w:r>
      <w:r w:rsidR="0005418A" w:rsidRPr="0005418A">
        <w:t>, alors qu’elles avaient été acceptées et publiées.</w:t>
      </w:r>
    </w:p>
    <w:p w14:paraId="1C914A30" w14:textId="549F9C79" w:rsidR="0005418A" w:rsidRPr="0005418A" w:rsidRDefault="0005418A" w:rsidP="0005418A">
      <w:r>
        <w:t>Cohn</w:t>
      </w:r>
      <w:r w:rsidRPr="0005418A">
        <w:t xml:space="preserve"> </w:t>
      </w:r>
      <w:r w:rsidR="0071669C">
        <w:t>a tenté</w:t>
      </w:r>
      <w:r w:rsidRPr="0005418A">
        <w:t xml:space="preserve"> à plusieurs reprises d’obtenir une explication</w:t>
      </w:r>
      <w:r>
        <w:t xml:space="preserve"> via </w:t>
      </w:r>
      <w:proofErr w:type="gramStart"/>
      <w:r w:rsidRPr="0005418A">
        <w:t>emails</w:t>
      </w:r>
      <w:proofErr w:type="gramEnd"/>
      <w:r w:rsidRPr="0005418A">
        <w:t>,</w:t>
      </w:r>
      <w:r>
        <w:t xml:space="preserve"> </w:t>
      </w:r>
      <w:r w:rsidRPr="0005418A">
        <w:t>formulaire de contact,</w:t>
      </w:r>
      <w:r>
        <w:t xml:space="preserve"> </w:t>
      </w:r>
      <w:r w:rsidRPr="0005418A">
        <w:t xml:space="preserve">contact direct avec un fondateur de </w:t>
      </w:r>
      <w:proofErr w:type="spellStart"/>
      <w:r w:rsidRPr="0005418A">
        <w:t>PubPeer</w:t>
      </w:r>
      <w:proofErr w:type="spellEnd"/>
      <w:r w:rsidRPr="0005418A">
        <w:t>.</w:t>
      </w:r>
    </w:p>
    <w:p w14:paraId="350B5DAF" w14:textId="58CF88AA" w:rsidR="0005418A" w:rsidRDefault="0096627A" w:rsidP="0005418A">
      <w:r>
        <w:rPr>
          <w:b/>
          <w:bCs/>
        </w:rPr>
        <w:t xml:space="preserve">→ </w:t>
      </w:r>
      <w:r w:rsidR="0005418A" w:rsidRPr="0005418A">
        <w:rPr>
          <w:b/>
          <w:bCs/>
        </w:rPr>
        <w:t xml:space="preserve">Aucune réponse </w:t>
      </w:r>
      <w:r w:rsidR="0071669C">
        <w:rPr>
          <w:b/>
          <w:bCs/>
        </w:rPr>
        <w:t>ne lui a été</w:t>
      </w:r>
      <w:r w:rsidR="0005418A" w:rsidRPr="0005418A">
        <w:rPr>
          <w:b/>
          <w:bCs/>
        </w:rPr>
        <w:t xml:space="preserve"> fournie</w:t>
      </w:r>
      <w:r w:rsidR="0005418A" w:rsidRPr="0005418A">
        <w:t xml:space="preserve"> :</w:t>
      </w:r>
      <w:r w:rsidR="0005418A">
        <w:t xml:space="preserve"> </w:t>
      </w:r>
      <w:r w:rsidR="0005418A" w:rsidRPr="0005418A">
        <w:t>ni sur la raison du retrait,</w:t>
      </w:r>
      <w:r w:rsidR="0005418A">
        <w:t xml:space="preserve"> </w:t>
      </w:r>
      <w:r w:rsidR="0005418A" w:rsidRPr="0005418A">
        <w:t>ni sur ce qu’il faudrait modifier pour republier.</w:t>
      </w:r>
    </w:p>
    <w:p w14:paraId="251FBD82" w14:textId="77777777" w:rsidR="00955ADB" w:rsidRDefault="00955ADB" w:rsidP="0005418A"/>
    <w:p w14:paraId="57BB9C8C" w14:textId="5371941B" w:rsidR="00955ADB" w:rsidRPr="0005418A" w:rsidRDefault="00955ADB" w:rsidP="0005418A">
      <w:r>
        <w:t>Cohn résume : « </w:t>
      </w:r>
      <w:r>
        <w:rPr>
          <w:i/>
          <w:iCs/>
        </w:rPr>
        <w:t>S</w:t>
      </w:r>
      <w:r w:rsidRPr="00056A18">
        <w:rPr>
          <w:i/>
          <w:iCs/>
        </w:rPr>
        <w:t>elon mon expérience, ces trois sources d’information médicale</w:t>
      </w:r>
      <w:r>
        <w:rPr>
          <w:i/>
          <w:iCs/>
        </w:rPr>
        <w:t xml:space="preserve"> [JAMA, NEJM, </w:t>
      </w:r>
      <w:proofErr w:type="spellStart"/>
      <w:r>
        <w:rPr>
          <w:i/>
          <w:iCs/>
        </w:rPr>
        <w:t>PubPeer</w:t>
      </w:r>
      <w:proofErr w:type="spellEnd"/>
      <w:r>
        <w:rPr>
          <w:i/>
          <w:iCs/>
        </w:rPr>
        <w:t>]</w:t>
      </w:r>
      <w:r w:rsidRPr="00056A18">
        <w:rPr>
          <w:i/>
          <w:iCs/>
        </w:rPr>
        <w:t xml:space="preserve"> ont toutes </w:t>
      </w:r>
      <w:r w:rsidRPr="00056A18">
        <w:rPr>
          <w:b/>
          <w:bCs/>
          <w:i/>
          <w:iCs/>
        </w:rPr>
        <w:t>empêché la publication de corrections</w:t>
      </w:r>
      <w:r w:rsidRPr="00056A18">
        <w:rPr>
          <w:i/>
          <w:iCs/>
        </w:rPr>
        <w:t xml:space="preserve"> concernant des erreurs importantes et fréquentes </w:t>
      </w:r>
      <w:r>
        <w:rPr>
          <w:i/>
          <w:iCs/>
        </w:rPr>
        <w:t>et publié</w:t>
      </w:r>
      <w:r w:rsidRPr="00056A18">
        <w:rPr>
          <w:i/>
          <w:iCs/>
        </w:rPr>
        <w:t xml:space="preserve"> des </w:t>
      </w:r>
      <w:r w:rsidRPr="00056A18">
        <w:rPr>
          <w:b/>
          <w:bCs/>
          <w:i/>
          <w:iCs/>
        </w:rPr>
        <w:t>affirmations non étayées dans leurs articles</w:t>
      </w:r>
      <w:r w:rsidRPr="00056A18">
        <w:rPr>
          <w:i/>
          <w:iCs/>
        </w:rPr>
        <w:t xml:space="preserve"> (pour JAMA et le NEJM) sur la médecine du genre.</w:t>
      </w:r>
      <w:r>
        <w:t> »</w:t>
      </w:r>
    </w:p>
    <w:p w14:paraId="48A07E70" w14:textId="77777777" w:rsidR="00056A18" w:rsidRDefault="00056A18" w:rsidP="00543229"/>
    <w:p w14:paraId="5507334F" w14:textId="5535ABC4" w:rsidR="00895D1D" w:rsidRPr="0079781D" w:rsidRDefault="00F30C9C" w:rsidP="00F51227">
      <w:pPr>
        <w:pStyle w:val="Titre3"/>
      </w:pPr>
      <w:bookmarkStart w:id="16" w:name="_Toc217928620"/>
      <w:r>
        <w:lastRenderedPageBreak/>
        <w:t>3</w:t>
      </w:r>
      <w:r w:rsidR="0094724F">
        <w:t xml:space="preserve">.3. </w:t>
      </w:r>
      <w:r w:rsidR="00895D1D" w:rsidRPr="00683AEE">
        <w:t>Quelques revues continu</w:t>
      </w:r>
      <w:r w:rsidR="00895D1D">
        <w:t>ent</w:t>
      </w:r>
      <w:r w:rsidR="00895D1D" w:rsidRPr="00683AEE">
        <w:t xml:space="preserve"> </w:t>
      </w:r>
      <w:r w:rsidR="00895D1D">
        <w:t xml:space="preserve">de </w:t>
      </w:r>
      <w:r w:rsidR="00895D1D" w:rsidRPr="00683AEE">
        <w:t>publier des travaux critiques</w:t>
      </w:r>
      <w:bookmarkEnd w:id="16"/>
      <w:r w:rsidR="00895D1D" w:rsidRPr="00683AEE">
        <w:t xml:space="preserve"> </w:t>
      </w:r>
    </w:p>
    <w:p w14:paraId="10483CA3" w14:textId="77777777" w:rsidR="00895D1D" w:rsidRPr="00B4237F" w:rsidRDefault="00895D1D" w:rsidP="00895D1D">
      <w:pPr>
        <w:pStyle w:val="Titre4"/>
      </w:pPr>
      <w:r w:rsidRPr="00B4237F">
        <w:t>Travaux critiques publiés par</w:t>
      </w:r>
      <w:r>
        <w:rPr>
          <w:i/>
          <w:iCs w:val="0"/>
        </w:rPr>
        <w:t xml:space="preserve"> </w:t>
      </w:r>
      <w:r w:rsidRPr="00B4237F">
        <w:rPr>
          <w:i/>
        </w:rPr>
        <w:t xml:space="preserve">Journal of </w:t>
      </w:r>
      <w:proofErr w:type="spellStart"/>
      <w:r w:rsidRPr="00B4237F">
        <w:rPr>
          <w:i/>
        </w:rPr>
        <w:t>Sex</w:t>
      </w:r>
      <w:proofErr w:type="spellEnd"/>
      <w:r w:rsidRPr="00B4237F">
        <w:rPr>
          <w:i/>
        </w:rPr>
        <w:t xml:space="preserve"> and Marital </w:t>
      </w:r>
      <w:proofErr w:type="spellStart"/>
      <w:r w:rsidRPr="00B4237F">
        <w:rPr>
          <w:i/>
        </w:rPr>
        <w:t>Therapy</w:t>
      </w:r>
      <w:proofErr w:type="spellEnd"/>
      <w:r w:rsidRPr="00B4237F">
        <w:t> </w:t>
      </w:r>
    </w:p>
    <w:p w14:paraId="3E4AF203" w14:textId="77777777" w:rsidR="00895D1D" w:rsidRDefault="00895D1D" w:rsidP="009D0EAD">
      <w:pPr>
        <w:pStyle w:val="Paragraphedeliste"/>
        <w:numPr>
          <w:ilvl w:val="0"/>
          <w:numId w:val="21"/>
        </w:numPr>
        <w:ind w:left="357" w:hanging="357"/>
      </w:pPr>
      <w:r w:rsidRPr="00683AEE">
        <w:t>Levine et al.,</w:t>
      </w:r>
      <w:hyperlink r:id="rId105" w:tooltip="Reconsidering informed consent for trans-identified children, adolescents, and young adults" w:history="1">
        <w:r w:rsidRPr="00683AEE">
          <w:rPr>
            <w:rStyle w:val="Lienhypertexte"/>
          </w:rPr>
          <w:t xml:space="preserve"> 2022</w:t>
        </w:r>
      </w:hyperlink>
      <w:r w:rsidRPr="00683AEE">
        <w:t xml:space="preserve"> </w:t>
      </w:r>
      <w:r>
        <w:t>concernant le consentement éclairé, et une réponse à cet article, dans le même journal (</w:t>
      </w:r>
      <w:proofErr w:type="spellStart"/>
      <w:r w:rsidRPr="00683AEE">
        <w:t>Drescher</w:t>
      </w:r>
      <w:proofErr w:type="spellEnd"/>
      <w:r w:rsidRPr="00683AEE">
        <w:t xml:space="preserve">, </w:t>
      </w:r>
      <w:hyperlink r:id="rId106" w:tooltip="Informed consent or scare tactics? A response to Levine et al.’s " w:history="1">
        <w:r w:rsidRPr="00683AEE">
          <w:rPr>
            <w:rStyle w:val="Lienhypertexte"/>
          </w:rPr>
          <w:t>2023</w:t>
        </w:r>
      </w:hyperlink>
      <w:r>
        <w:t xml:space="preserve">), puis une réponse des auteurs à  </w:t>
      </w:r>
      <w:proofErr w:type="spellStart"/>
      <w:r w:rsidRPr="00683AEE">
        <w:t>Drescher</w:t>
      </w:r>
      <w:proofErr w:type="spellEnd"/>
      <w:r>
        <w:t xml:space="preserve"> (</w:t>
      </w:r>
      <w:r w:rsidRPr="00683AEE">
        <w:t xml:space="preserve">Levine et al., </w:t>
      </w:r>
      <w:hyperlink r:id="rId107" w:tooltip="What Are We Doing to These Children? Response to Drescher, Clayton, and Balon Commentaries on Levine et al., 2022" w:history="1">
        <w:r w:rsidRPr="00683AEE">
          <w:rPr>
            <w:rStyle w:val="Lienhypertexte"/>
          </w:rPr>
          <w:t>2023</w:t>
        </w:r>
      </w:hyperlink>
      <w:r w:rsidRPr="00683AEE">
        <w:t>)</w:t>
      </w:r>
      <w:r>
        <w:t>.</w:t>
      </w:r>
    </w:p>
    <w:p w14:paraId="5C332ACA" w14:textId="12B7142D" w:rsidR="00895D1D" w:rsidRPr="000C2D5D" w:rsidRDefault="001C7E74" w:rsidP="009D0EAD">
      <w:pPr>
        <w:pStyle w:val="Paragraphedeliste"/>
        <w:numPr>
          <w:ilvl w:val="0"/>
          <w:numId w:val="21"/>
        </w:numPr>
        <w:ind w:left="357" w:hanging="357"/>
      </w:pPr>
      <w:r>
        <w:t>[</w:t>
      </w:r>
      <w:proofErr w:type="spellStart"/>
      <w:r w:rsidR="00895D1D" w:rsidRPr="000C2D5D">
        <w:t>A</w:t>
      </w:r>
      <w:r w:rsidR="00895D1D">
        <w:t>bb</w:t>
      </w:r>
      <w:r w:rsidR="00895D1D" w:rsidRPr="000C2D5D">
        <w:t>ruz</w:t>
      </w:r>
      <w:r w:rsidR="00895D1D">
        <w:t>z</w:t>
      </w:r>
      <w:r w:rsidR="00895D1D" w:rsidRPr="000C2D5D">
        <w:t>ese</w:t>
      </w:r>
      <w:proofErr w:type="spellEnd"/>
      <w:r w:rsidR="00895D1D" w:rsidRPr="000C2D5D">
        <w:t xml:space="preserve"> et al., </w:t>
      </w:r>
      <w:hyperlink r:id="rId108" w:tooltip="The Myth of " w:history="1">
        <w:r w:rsidR="00895D1D" w:rsidRPr="00AA53DF">
          <w:rPr>
            <w:rStyle w:val="Lienhypertexte"/>
          </w:rPr>
          <w:t>2023</w:t>
        </w:r>
      </w:hyperlink>
      <w:r w:rsidR="00895D1D" w:rsidRPr="000C2D5D">
        <w:t>, critiquant l</w:t>
      </w:r>
      <w:r w:rsidR="00895D1D">
        <w:t xml:space="preserve">es 2 études ayant document le Dutch Protocol ainsi que 3 autres études : Carmichael et al.,  </w:t>
      </w:r>
      <w:bookmarkStart w:id="17" w:name="_Hlk217297823"/>
      <w:r w:rsidR="00895D1D">
        <w:fldChar w:fldCharType="begin"/>
      </w:r>
      <w:r w:rsidR="00895D1D">
        <w:instrText>HYPERLINK "https://doi.org/10.1371/journal.pone.0243894" \o "Short-term outcomes of pubertal suppression in a selected cohort of 12 to 15 year old young people with persistent gender dysphoria in the UK"</w:instrText>
      </w:r>
      <w:r w:rsidR="00895D1D">
        <w:fldChar w:fldCharType="separate"/>
      </w:r>
      <w:r w:rsidR="00895D1D" w:rsidRPr="00CB2A84">
        <w:rPr>
          <w:rStyle w:val="Lienhypertexte"/>
        </w:rPr>
        <w:t>2021</w:t>
      </w:r>
      <w:r w:rsidR="00895D1D">
        <w:fldChar w:fldCharType="end"/>
      </w:r>
      <w:bookmarkEnd w:id="17"/>
      <w:r w:rsidR="00895D1D">
        <w:t xml:space="preserve">, </w:t>
      </w:r>
      <w:proofErr w:type="spellStart"/>
      <w:r w:rsidR="00895D1D">
        <w:t>Tordoff</w:t>
      </w:r>
      <w:proofErr w:type="spellEnd"/>
      <w:r w:rsidR="00895D1D">
        <w:t xml:space="preserve"> et al., </w:t>
      </w:r>
      <w:hyperlink r:id="rId109" w:tooltip="Mental health outcomes in transgender and nonbinary youths receiving gender-affirming care." w:history="1">
        <w:r w:rsidR="00895D1D" w:rsidRPr="005F3CB3">
          <w:rPr>
            <w:rStyle w:val="Lienhypertexte"/>
          </w:rPr>
          <w:t>2022</w:t>
        </w:r>
      </w:hyperlink>
      <w:r w:rsidR="00895D1D">
        <w:t xml:space="preserve">, Costa </w:t>
      </w:r>
      <w:hyperlink r:id="rId110" w:tooltip="Psychological support, puberty suppression, and psychosocial functioning in adolescents with gender dysphoria" w:history="1">
        <w:r w:rsidR="00895D1D" w:rsidRPr="00F02AE2">
          <w:rPr>
            <w:rStyle w:val="Lienhypertexte"/>
          </w:rPr>
          <w:t>2015</w:t>
        </w:r>
      </w:hyperlink>
      <w:r w:rsidR="00895D1D">
        <w:t>.</w:t>
      </w:r>
      <w:r>
        <w:t>]</w:t>
      </w:r>
    </w:p>
    <w:p w14:paraId="31FD6F16" w14:textId="77777777" w:rsidR="00895D1D" w:rsidRPr="00683AEE" w:rsidRDefault="00895D1D" w:rsidP="00895D1D">
      <w:pPr>
        <w:rPr>
          <w:i/>
          <w:iCs/>
        </w:rPr>
      </w:pPr>
    </w:p>
    <w:p w14:paraId="629B6174" w14:textId="77777777" w:rsidR="00895D1D" w:rsidRPr="00FC6C5B" w:rsidRDefault="00895D1D" w:rsidP="00895D1D">
      <w:pPr>
        <w:pStyle w:val="Titre4"/>
        <w:rPr>
          <w:lang w:val="en-US"/>
        </w:rPr>
      </w:pPr>
      <w:bookmarkStart w:id="18" w:name="_Travaux_critiques_publiés"/>
      <w:bookmarkEnd w:id="18"/>
      <w:r w:rsidRPr="008B16DD">
        <w:t>Travaux critiques publiés</w:t>
      </w:r>
      <w:r>
        <w:rPr>
          <w:i/>
          <w:iCs w:val="0"/>
        </w:rPr>
        <w:t xml:space="preserve"> </w:t>
      </w:r>
      <w:r w:rsidRPr="00FC6C5B">
        <w:rPr>
          <w:i/>
          <w:lang w:val="en-US"/>
        </w:rPr>
        <w:t>Archives of sexual behavior</w:t>
      </w:r>
      <w:r w:rsidRPr="00FC6C5B">
        <w:rPr>
          <w:lang w:val="en-US"/>
        </w:rPr>
        <w:t> </w:t>
      </w:r>
    </w:p>
    <w:p w14:paraId="7DF67D66" w14:textId="77777777" w:rsidR="00895D1D" w:rsidRDefault="00895D1D" w:rsidP="009D0EAD">
      <w:pPr>
        <w:pStyle w:val="Paragraphedeliste"/>
        <w:numPr>
          <w:ilvl w:val="0"/>
          <w:numId w:val="21"/>
        </w:numPr>
        <w:ind w:left="357" w:hanging="357"/>
      </w:pPr>
      <w:r>
        <w:rPr>
          <w:b/>
          <w:bCs/>
        </w:rPr>
        <w:t>Ré</w:t>
      </w:r>
      <w:r w:rsidRPr="0079781D">
        <w:rPr>
          <w:b/>
          <w:bCs/>
        </w:rPr>
        <w:t xml:space="preserve">futations initialement rejetées </w:t>
      </w:r>
      <w:r w:rsidRPr="00683AEE">
        <w:t>concernant</w:t>
      </w:r>
      <w:r>
        <w:t xml:space="preserve"> les</w:t>
      </w:r>
      <w:r w:rsidRPr="00683AEE">
        <w:t xml:space="preserve"> deux articles de Turban et al.</w:t>
      </w:r>
      <w:r>
        <w:t xml:space="preserve"> mentionnés précédemment </w:t>
      </w:r>
      <w:r w:rsidRPr="00FB7A9F">
        <w:t>:</w:t>
      </w:r>
      <w:r>
        <w:t xml:space="preserve">  </w:t>
      </w:r>
      <w:proofErr w:type="spellStart"/>
      <w:r w:rsidRPr="00FB7A9F">
        <w:t>Biggs</w:t>
      </w:r>
      <w:proofErr w:type="spellEnd"/>
      <w:r w:rsidRPr="00FB7A9F">
        <w:t xml:space="preserve">, </w:t>
      </w:r>
      <w:hyperlink r:id="rId111" w:tooltip="Lettre à l editeur concernant Turban et al. 2020, bloqueurs" w:history="1">
        <w:r w:rsidRPr="00FB7A9F">
          <w:rPr>
            <w:rStyle w:val="Lienhypertexte"/>
          </w:rPr>
          <w:t>2020</w:t>
        </w:r>
      </w:hyperlink>
      <w:r w:rsidRPr="00FB7A9F">
        <w:t xml:space="preserve"> et </w:t>
      </w:r>
      <w:proofErr w:type="spellStart"/>
      <w:r w:rsidRPr="00FB7A9F">
        <w:t>D’angelo</w:t>
      </w:r>
      <w:proofErr w:type="spellEnd"/>
      <w:r w:rsidRPr="00FB7A9F">
        <w:t xml:space="preserve"> et al., </w:t>
      </w:r>
      <w:hyperlink r:id="rId112" w:tooltip="Réfutation de Turban sur les efforts de conversion" w:history="1">
        <w:r w:rsidRPr="00FB7A9F">
          <w:rPr>
            <w:rStyle w:val="Lienhypertexte"/>
          </w:rPr>
          <w:t>2021</w:t>
        </w:r>
      </w:hyperlink>
      <w:r>
        <w:t>.</w:t>
      </w:r>
    </w:p>
    <w:p w14:paraId="74359F39" w14:textId="1E878EAB" w:rsidR="00895D1D" w:rsidRDefault="001C7E74" w:rsidP="009D0EAD">
      <w:pPr>
        <w:pStyle w:val="Paragraphedeliste"/>
        <w:numPr>
          <w:ilvl w:val="0"/>
          <w:numId w:val="21"/>
        </w:numPr>
        <w:ind w:left="357" w:hanging="357"/>
      </w:pPr>
      <w:r w:rsidRPr="001C7E74">
        <w:t>[</w:t>
      </w:r>
      <w:r w:rsidR="00895D1D" w:rsidRPr="008B16DD">
        <w:rPr>
          <w:b/>
          <w:bCs/>
        </w:rPr>
        <w:t>Lettre à l’éditeur</w:t>
      </w:r>
      <w:r w:rsidR="00895D1D">
        <w:t xml:space="preserve"> (Sapir, </w:t>
      </w:r>
      <w:proofErr w:type="spellStart"/>
      <w:r w:rsidR="00895D1D">
        <w:t>Littman</w:t>
      </w:r>
      <w:proofErr w:type="spellEnd"/>
      <w:r w:rsidR="00895D1D">
        <w:t xml:space="preserve">, </w:t>
      </w:r>
      <w:proofErr w:type="spellStart"/>
      <w:r w:rsidR="00895D1D">
        <w:t>Biggs</w:t>
      </w:r>
      <w:proofErr w:type="spellEnd"/>
      <w:r w:rsidR="00895D1D">
        <w:t xml:space="preserve">, </w:t>
      </w:r>
      <w:hyperlink r:id="rId113" w:tooltip="Lettre à l'éditeur publiée dans &quot;Archives&quot; concernant Turban sur la contagion sociale" w:history="1">
        <w:r w:rsidR="00895D1D" w:rsidRPr="001C0380">
          <w:rPr>
            <w:rStyle w:val="Lienhypertexte"/>
          </w:rPr>
          <w:t>2023</w:t>
        </w:r>
      </w:hyperlink>
      <w:r w:rsidR="00895D1D">
        <w:t xml:space="preserve">) concernant une autre </w:t>
      </w:r>
      <w:hyperlink r:id="rId114" w:tooltip="Age of Realization and Disclosure of Gender Identity Among Transgender Adults" w:history="1">
        <w:r w:rsidR="00895D1D" w:rsidRPr="0079781D">
          <w:rPr>
            <w:rStyle w:val="Lienhypertexte"/>
          </w:rPr>
          <w:t>étude de Turban</w:t>
        </w:r>
      </w:hyperlink>
      <w:r w:rsidR="00895D1D">
        <w:t xml:space="preserve"> publiée dans </w:t>
      </w:r>
      <w:r w:rsidR="00895D1D" w:rsidRPr="0079781D">
        <w:rPr>
          <w:i/>
          <w:iCs/>
        </w:rPr>
        <w:t>Journal of Adolescent Health</w:t>
      </w:r>
      <w:r w:rsidR="00895D1D">
        <w:t>.</w:t>
      </w:r>
      <w:r>
        <w:t>]</w:t>
      </w:r>
    </w:p>
    <w:p w14:paraId="482A4092" w14:textId="77777777" w:rsidR="00895D1D" w:rsidRPr="00FB7A9F" w:rsidRDefault="00895D1D" w:rsidP="00895D1D"/>
    <w:tbl>
      <w:tblPr>
        <w:tblStyle w:val="Grilledutableau"/>
        <w:tblW w:w="0" w:type="auto"/>
        <w:tblInd w:w="421" w:type="dxa"/>
        <w:tblLook w:val="04A0" w:firstRow="1" w:lastRow="0" w:firstColumn="1" w:lastColumn="0" w:noHBand="0" w:noVBand="1"/>
      </w:tblPr>
      <w:tblGrid>
        <w:gridCol w:w="8641"/>
      </w:tblGrid>
      <w:tr w:rsidR="00895D1D" w14:paraId="2B947D22" w14:textId="77777777" w:rsidTr="00157A31">
        <w:tc>
          <w:tcPr>
            <w:tcW w:w="8641" w:type="dxa"/>
          </w:tcPr>
          <w:p w14:paraId="17FC0C6A" w14:textId="77777777" w:rsidR="00895D1D" w:rsidRPr="00DB4E8D" w:rsidRDefault="00895D1D" w:rsidP="00157A31">
            <w:pPr>
              <w:rPr>
                <w:b/>
                <w:bCs/>
              </w:rPr>
            </w:pPr>
            <w:r w:rsidRPr="00DB4E8D">
              <w:rPr>
                <w:b/>
                <w:bCs/>
                <w:i/>
                <w:iCs/>
              </w:rPr>
              <w:t xml:space="preserve">Archives of </w:t>
            </w:r>
            <w:proofErr w:type="spellStart"/>
            <w:r w:rsidRPr="00DB4E8D">
              <w:rPr>
                <w:b/>
                <w:bCs/>
                <w:i/>
                <w:iCs/>
              </w:rPr>
              <w:t>sexual</w:t>
            </w:r>
            <w:proofErr w:type="spellEnd"/>
            <w:r w:rsidRPr="00DB4E8D">
              <w:rPr>
                <w:b/>
                <w:bCs/>
                <w:i/>
                <w:iCs/>
              </w:rPr>
              <w:t xml:space="preserve"> </w:t>
            </w:r>
            <w:proofErr w:type="spellStart"/>
            <w:r w:rsidRPr="00DB4E8D">
              <w:rPr>
                <w:b/>
                <w:bCs/>
                <w:i/>
                <w:iCs/>
              </w:rPr>
              <w:t>behavior</w:t>
            </w:r>
            <w:proofErr w:type="spellEnd"/>
            <w:r w:rsidRPr="00DB4E8D">
              <w:rPr>
                <w:b/>
                <w:bCs/>
              </w:rPr>
              <w:t> a</w:t>
            </w:r>
            <w:r w:rsidRPr="00DB4E8D">
              <w:rPr>
                <w:b/>
                <w:bCs/>
                <w:i/>
                <w:iCs/>
              </w:rPr>
              <w:t xml:space="preserve"> </w:t>
            </w:r>
            <w:r w:rsidRPr="00DB4E8D">
              <w:rPr>
                <w:b/>
                <w:bCs/>
              </w:rPr>
              <w:t>fait l’objet d’une tentative apparente de censure</w:t>
            </w:r>
          </w:p>
          <w:p w14:paraId="3B74FD26" w14:textId="22E849EC" w:rsidR="00895D1D" w:rsidRDefault="00895D1D" w:rsidP="00157A31">
            <w:r>
              <w:t>Une</w:t>
            </w:r>
            <w:r w:rsidRPr="00683AEE">
              <w:t xml:space="preserve"> </w:t>
            </w:r>
            <w:r>
              <w:t>lettre ouverte</w:t>
            </w:r>
            <w:r w:rsidRPr="00683AEE">
              <w:t xml:space="preserve"> (Adams et al., </w:t>
            </w:r>
            <w:hyperlink r:id="rId115" w:tooltip="Open letter RE" w:history="1">
              <w:r w:rsidRPr="00683AEE">
                <w:rPr>
                  <w:rStyle w:val="Lienhypertexte"/>
                </w:rPr>
                <w:t>2023</w:t>
              </w:r>
            </w:hyperlink>
            <w:r w:rsidRPr="00683AEE">
              <w:t xml:space="preserve">), </w:t>
            </w:r>
            <w:r>
              <w:t>signée</w:t>
            </w:r>
            <w:r w:rsidRPr="00683AEE">
              <w:t xml:space="preserve"> par de nombreux </w:t>
            </w:r>
            <w:r>
              <w:t xml:space="preserve">professionnels, </w:t>
            </w:r>
            <w:r w:rsidRPr="00683AEE">
              <w:t xml:space="preserve">incluant la présidente de la </w:t>
            </w:r>
            <w:hyperlink r:id="rId116" w:tooltip="World Professional Association for Transgender Health " w:history="1">
              <w:r w:rsidRPr="00B16F38">
                <w:rPr>
                  <w:rStyle w:val="Lienhypertexte"/>
                  <w:b/>
                  <w:bCs/>
                </w:rPr>
                <w:t>WPATH</w:t>
              </w:r>
            </w:hyperlink>
            <w:r w:rsidRPr="00683AEE">
              <w:t xml:space="preserve"> de l’époque (M. </w:t>
            </w:r>
            <w:proofErr w:type="spellStart"/>
            <w:r w:rsidRPr="00683AEE">
              <w:t>Bowers</w:t>
            </w:r>
            <w:proofErr w:type="spellEnd"/>
            <w:r w:rsidRPr="00683AEE">
              <w:t xml:space="preserve">) et son président actuel (A. </w:t>
            </w:r>
            <w:proofErr w:type="spellStart"/>
            <w:r w:rsidRPr="00683AEE">
              <w:t>Radix</w:t>
            </w:r>
            <w:proofErr w:type="spellEnd"/>
            <w:r w:rsidRPr="00683AEE">
              <w:t>),</w:t>
            </w:r>
            <w:r>
              <w:t xml:space="preserve"> </w:t>
            </w:r>
            <w:r w:rsidR="00BE093F">
              <w:t>exigeait</w:t>
            </w:r>
            <w:r>
              <w:t> :</w:t>
            </w:r>
          </w:p>
          <w:p w14:paraId="12206EF4" w14:textId="464F69E2" w:rsidR="00895D1D" w:rsidRDefault="00895D1D" w:rsidP="00157A31">
            <w:pPr>
              <w:pStyle w:val="Paragraphedeliste"/>
              <w:numPr>
                <w:ilvl w:val="0"/>
                <w:numId w:val="26"/>
              </w:numPr>
            </w:pPr>
            <w:r w:rsidRPr="00683AEE">
              <w:t xml:space="preserve">la </w:t>
            </w:r>
            <w:r w:rsidRPr="008E0CF4">
              <w:rPr>
                <w:b/>
                <w:bCs/>
              </w:rPr>
              <w:t>destitution du rédacteur en chef</w:t>
            </w:r>
            <w:r w:rsidRPr="00683AEE">
              <w:t>.</w:t>
            </w:r>
            <w:r>
              <w:t xml:space="preserve"> </w:t>
            </w:r>
            <w:r w:rsidR="006357C1">
              <w:t>Cela a</w:t>
            </w:r>
            <w:r w:rsidRPr="00683AEE">
              <w:t xml:space="preserve"> </w:t>
            </w:r>
            <w:r w:rsidRPr="008E0CF4">
              <w:rPr>
                <w:b/>
                <w:bCs/>
              </w:rPr>
              <w:t>échoué</w:t>
            </w:r>
            <w:r>
              <w:t>.</w:t>
            </w:r>
          </w:p>
          <w:p w14:paraId="014D3972" w14:textId="77777777" w:rsidR="00895D1D" w:rsidRDefault="00895D1D" w:rsidP="00157A31">
            <w:pPr>
              <w:pStyle w:val="Paragraphedeliste"/>
              <w:numPr>
                <w:ilvl w:val="0"/>
                <w:numId w:val="26"/>
              </w:numPr>
            </w:pPr>
            <w:r w:rsidRPr="008E0CF4">
              <w:t xml:space="preserve">la </w:t>
            </w:r>
            <w:r w:rsidRPr="008E0CF4">
              <w:rPr>
                <w:b/>
                <w:bCs/>
              </w:rPr>
              <w:t xml:space="preserve">rétractation (réussie) </w:t>
            </w:r>
            <w:r w:rsidRPr="00DB4E8D">
              <w:t>d’un</w:t>
            </w:r>
            <w:r>
              <w:t xml:space="preserve">e étude </w:t>
            </w:r>
            <w:r w:rsidRPr="008E0CF4">
              <w:rPr>
                <w:b/>
                <w:bCs/>
              </w:rPr>
              <w:t xml:space="preserve">portant </w:t>
            </w:r>
            <w:r w:rsidRPr="005E1C25">
              <w:t>sur 1 655 rapports parentaux</w:t>
            </w:r>
            <w:r>
              <w:t xml:space="preserve"> qui </w:t>
            </w:r>
            <w:r w:rsidRPr="005E1C25">
              <w:t>renforç</w:t>
            </w:r>
            <w:r>
              <w:t>ait</w:t>
            </w:r>
            <w:r w:rsidRPr="005E1C25">
              <w:t xml:space="preserve"> la crédibilité de l’hypothèse de la dysphorie de genre à apparition rapide</w:t>
            </w:r>
            <w:r w:rsidRPr="00683AEE">
              <w:t xml:space="preserve"> (Diaz &amp; Bailey, </w:t>
            </w:r>
            <w:hyperlink r:id="rId117" w:tooltip="RETRACTED ARTICLE: ROGD: Parent Reports on 1655 possible cases. Archives of Sexual Behavior" w:history="1">
              <w:r w:rsidRPr="00683AEE">
                <w:rPr>
                  <w:rStyle w:val="Lienhypertexte"/>
                </w:rPr>
                <w:t>2023</w:t>
              </w:r>
            </w:hyperlink>
            <w:r w:rsidRPr="00683AEE">
              <w:t>)</w:t>
            </w:r>
            <w:r>
              <w:t>.</w:t>
            </w:r>
          </w:p>
          <w:p w14:paraId="0AA183BD" w14:textId="69032A9D" w:rsidR="00895D1D" w:rsidRDefault="006357C1" w:rsidP="00157A31">
            <w:pPr>
              <w:pStyle w:val="Paragraphedeliste"/>
            </w:pPr>
            <w:r>
              <w:t>[</w:t>
            </w:r>
            <w:r w:rsidR="00895D1D">
              <w:t>La raison officielle de cette rétractation était d’ordre éthique (</w:t>
            </w:r>
            <w:r w:rsidR="00895D1D" w:rsidRPr="002B24D6">
              <w:t>absence de consentement formel</w:t>
            </w:r>
            <w:r w:rsidR="00895D1D">
              <w:t xml:space="preserve">) et non </w:t>
            </w:r>
            <w:r w:rsidR="00895D1D" w:rsidRPr="002B24D6">
              <w:t>méthodologique.</w:t>
            </w:r>
            <w:r w:rsidR="00895D1D">
              <w:t xml:space="preserve"> </w:t>
            </w:r>
            <w:r w:rsidR="00895D1D" w:rsidRPr="008E0CF4">
              <w:t xml:space="preserve">Les </w:t>
            </w:r>
            <w:r w:rsidR="00895D1D" w:rsidRPr="008E0CF4">
              <w:rPr>
                <w:b/>
                <w:bCs/>
              </w:rPr>
              <w:t xml:space="preserve">critiques </w:t>
            </w:r>
            <w:r w:rsidR="00895D1D" w:rsidRPr="008E0CF4">
              <w:t>avancées publiquement à l’encontre de cette étude (notamment l’</w:t>
            </w:r>
            <w:proofErr w:type="spellStart"/>
            <w:r w:rsidR="00895D1D" w:rsidRPr="008E0CF4">
              <w:t>auto-sélection</w:t>
            </w:r>
            <w:proofErr w:type="spellEnd"/>
            <w:r w:rsidR="00895D1D" w:rsidRPr="008E0CF4">
              <w:t xml:space="preserve">) sont </w:t>
            </w:r>
            <w:r w:rsidR="00895D1D" w:rsidRPr="008E0CF4">
              <w:rPr>
                <w:b/>
                <w:bCs/>
              </w:rPr>
              <w:t>comparables à celles que l’on pourrait formuler</w:t>
            </w:r>
            <w:r w:rsidR="00895D1D" w:rsidRPr="008E0CF4">
              <w:t xml:space="preserve"> à l’encontre d’autres études fréquemment citées en soutien de l’approche </w:t>
            </w:r>
            <w:proofErr w:type="spellStart"/>
            <w:r w:rsidR="00895D1D" w:rsidRPr="008E0CF4">
              <w:t>transaffirmative</w:t>
            </w:r>
            <w:proofErr w:type="spellEnd"/>
            <w:r w:rsidR="00895D1D" w:rsidRPr="008E0CF4">
              <w:t xml:space="preserve">, notamment celles de Turban et al. </w:t>
            </w:r>
            <w:r w:rsidR="00895D1D">
              <w:t xml:space="preserve"> </w:t>
            </w:r>
            <w:r w:rsidR="00895D1D" w:rsidRPr="00181E9F">
              <w:t>(</w:t>
            </w:r>
            <w:hyperlink r:id="rId118" w:tgtFrame="_blank" w:tooltip="Turban et al. 2019, Association Between Recalled Exposure to Gender Identity Conversion Efforts  (...)" w:history="1">
              <w:r w:rsidR="00895D1D" w:rsidRPr="00181E9F">
                <w:rPr>
                  <w:rStyle w:val="Lienhypertexte"/>
                </w:rPr>
                <w:t>2019</w:t>
              </w:r>
            </w:hyperlink>
            <w:r w:rsidR="00895D1D" w:rsidRPr="00181E9F">
              <w:t xml:space="preserve">, </w:t>
            </w:r>
            <w:hyperlink r:id="rId119" w:tgtFrame="_blank" w:tooltip="Turban et al. 2020, Pubertal Suppression for Transgender Youth and Risk of Suicidal Ideation " w:history="1">
              <w:r w:rsidR="00895D1D" w:rsidRPr="00181E9F">
                <w:rPr>
                  <w:rStyle w:val="Lienhypertexte"/>
                </w:rPr>
                <w:t>2020</w:t>
              </w:r>
            </w:hyperlink>
            <w:r w:rsidR="00895D1D" w:rsidRPr="00181E9F">
              <w:t xml:space="preserve">, </w:t>
            </w:r>
            <w:hyperlink r:id="rId120" w:tgtFrame="_blank" w:tooltip="Turban et al. 2021,  Factors Leading to " w:history="1">
              <w:r w:rsidR="00895D1D" w:rsidRPr="00181E9F">
                <w:rPr>
                  <w:rStyle w:val="Lienhypertexte"/>
                </w:rPr>
                <w:t>2021</w:t>
              </w:r>
            </w:hyperlink>
            <w:r w:rsidR="00895D1D" w:rsidRPr="00181E9F">
              <w:t xml:space="preserve">, </w:t>
            </w:r>
            <w:hyperlink r:id="rId121" w:tgtFrame="_blank" w:tooltip="Turban et al. 2022, Access to gender-affirming hormones during adolescence and mental health outcomes among transgender adults" w:history="1">
              <w:r w:rsidR="00895D1D" w:rsidRPr="00181E9F">
                <w:rPr>
                  <w:rStyle w:val="Lienhypertexte"/>
                </w:rPr>
                <w:t>2022</w:t>
              </w:r>
            </w:hyperlink>
            <w:r w:rsidR="00895D1D" w:rsidRPr="008E0CF4">
              <w:rPr>
                <w:u w:val="single"/>
              </w:rPr>
              <w:t>,</w:t>
            </w:r>
            <w:r w:rsidR="00895D1D" w:rsidRPr="00181E9F">
              <w:t xml:space="preserve"> </w:t>
            </w:r>
            <w:hyperlink r:id="rId122" w:tgtFrame="_blank" w:tooltip="Turban et al. 2023, Age of Realization and Disclosure of Gender Identity Among Transgender Adults" w:history="1">
              <w:r w:rsidR="00895D1D" w:rsidRPr="00181E9F">
                <w:rPr>
                  <w:rStyle w:val="Lienhypertexte"/>
                </w:rPr>
                <w:t>2023</w:t>
              </w:r>
            </w:hyperlink>
            <w:r w:rsidR="00895D1D" w:rsidRPr="00181E9F">
              <w:t>)</w:t>
            </w:r>
            <w:r w:rsidR="00895D1D">
              <w:t xml:space="preserve">. L’étude a par la suite été </w:t>
            </w:r>
            <w:hyperlink r:id="rId123" w:history="1">
              <w:r w:rsidR="00895D1D" w:rsidRPr="00173026">
                <w:rPr>
                  <w:rStyle w:val="Lienhypertexte"/>
                </w:rPr>
                <w:t>republiée ailleurs</w:t>
              </w:r>
            </w:hyperlink>
            <w:r w:rsidR="00895D1D">
              <w:t>, après une nouvelle évaluation par les pairs.</w:t>
            </w:r>
            <w:r>
              <w:t>]</w:t>
            </w:r>
          </w:p>
          <w:p w14:paraId="71479B69" w14:textId="77777777" w:rsidR="00895D1D" w:rsidRDefault="00895D1D" w:rsidP="00157A31">
            <w:pPr>
              <w:pStyle w:val="Paragraphedeliste"/>
            </w:pPr>
          </w:p>
          <w:p w14:paraId="632207DC" w14:textId="3986B814" w:rsidR="00895D1D" w:rsidRPr="00A252B2" w:rsidRDefault="00BE093F" w:rsidP="00157A31">
            <w:r>
              <w:t>Cohn conclut</w:t>
            </w:r>
            <w:r w:rsidR="00895D1D">
              <w:t> : « </w:t>
            </w:r>
            <w:r w:rsidR="00895D1D" w:rsidRPr="00AF1C75">
              <w:rPr>
                <w:i/>
                <w:iCs/>
              </w:rPr>
              <w:t>Des professionnels et chercheurs du domaine ont tenté d’écarter un rédacteur en chef dont la revue publiait des critiques qui avaient été rejetées ailleurs</w:t>
            </w:r>
            <w:r w:rsidR="00895D1D">
              <w:t> »</w:t>
            </w:r>
            <w:r w:rsidR="00682745">
              <w:t>.</w:t>
            </w:r>
            <w:r w:rsidR="00895D1D">
              <w:t> </w:t>
            </w:r>
          </w:p>
        </w:tc>
      </w:tr>
    </w:tbl>
    <w:p w14:paraId="4EF2872B" w14:textId="77777777" w:rsidR="00C11821" w:rsidRDefault="00C11821" w:rsidP="00942A49"/>
    <w:p w14:paraId="60EA7673" w14:textId="1DFB636D" w:rsidR="00C11821" w:rsidRDefault="0031118B" w:rsidP="00C11821">
      <w:pPr>
        <w:pStyle w:val="Titre2"/>
      </w:pPr>
      <w:bookmarkStart w:id="19" w:name="_Toc217928621"/>
      <w:r>
        <w:t>4</w:t>
      </w:r>
      <w:r w:rsidR="00C11821" w:rsidRPr="00C11821">
        <w:t xml:space="preserve">. </w:t>
      </w:r>
      <w:r w:rsidR="00DD3BC9">
        <w:t>Boucle fermée</w:t>
      </w:r>
      <w:r w:rsidR="00C11821" w:rsidRPr="00C11821">
        <w:t xml:space="preserve"> entre </w:t>
      </w:r>
      <w:r w:rsidR="00533725">
        <w:t>journaux</w:t>
      </w:r>
      <w:r w:rsidR="00C11821" w:rsidRPr="00C11821">
        <w:t xml:space="preserve"> et sociétés médicales</w:t>
      </w:r>
      <w:bookmarkEnd w:id="19"/>
      <w:r w:rsidR="0087364A">
        <w:t xml:space="preserve"> </w:t>
      </w:r>
    </w:p>
    <w:p w14:paraId="4E1CF835" w14:textId="30768D28" w:rsidR="001B6DEF" w:rsidRDefault="001B6DEF" w:rsidP="001B6DEF">
      <w:pPr>
        <w:pStyle w:val="Titre3"/>
      </w:pPr>
      <w:bookmarkStart w:id="20" w:name="_Toc217928622"/>
      <w:r>
        <w:t>4.1. Rôle des sociétés médicales</w:t>
      </w:r>
      <w:bookmarkEnd w:id="20"/>
      <w:r>
        <w:t xml:space="preserve"> </w:t>
      </w:r>
    </w:p>
    <w:p w14:paraId="63FE186B" w14:textId="5A1E2D77" w:rsidR="006B5AF4" w:rsidRPr="00483294" w:rsidRDefault="00866C61" w:rsidP="006B5AF4">
      <w:r>
        <w:t>Selon Cohn</w:t>
      </w:r>
      <w:r w:rsidR="006B5AF4" w:rsidRPr="006B5AF4">
        <w:t xml:space="preserve">, les sociétés médicales </w:t>
      </w:r>
      <w:r w:rsidR="002047E9">
        <w:t xml:space="preserve">(dont nombreuses sont </w:t>
      </w:r>
      <w:r w:rsidR="0087364A">
        <w:t>américaines</w:t>
      </w:r>
      <w:r w:rsidR="002047E9">
        <w:t>)</w:t>
      </w:r>
      <w:r w:rsidR="0087364A">
        <w:t xml:space="preserve"> </w:t>
      </w:r>
      <w:r w:rsidR="006B5AF4" w:rsidRPr="006B5AF4">
        <w:t>semblent jouer un rôle clé</w:t>
      </w:r>
      <w:r>
        <w:t xml:space="preserve"> dans </w:t>
      </w:r>
      <w:r w:rsidRPr="006B5AF4">
        <w:t>la censure des articles scientifiques</w:t>
      </w:r>
      <w:r w:rsidR="006B5AF4" w:rsidRPr="006B5AF4">
        <w:t xml:space="preserve">. </w:t>
      </w:r>
      <w:r w:rsidR="00396DF3">
        <w:t>[</w:t>
      </w:r>
      <w:r w:rsidR="005776BC" w:rsidRPr="00483294">
        <w:t xml:space="preserve">Exemples de sociétés médicales concernées : </w:t>
      </w:r>
      <w:r w:rsidR="005776BC" w:rsidRPr="00483294">
        <w:rPr>
          <w:i/>
          <w:iCs/>
        </w:rPr>
        <w:t xml:space="preserve">American </w:t>
      </w:r>
      <w:proofErr w:type="spellStart"/>
      <w:r w:rsidR="005776BC" w:rsidRPr="00483294">
        <w:rPr>
          <w:i/>
          <w:iCs/>
        </w:rPr>
        <w:t>Academy</w:t>
      </w:r>
      <w:proofErr w:type="spellEnd"/>
      <w:r w:rsidR="005776BC" w:rsidRPr="00483294">
        <w:rPr>
          <w:i/>
          <w:iCs/>
        </w:rPr>
        <w:t xml:space="preserve"> of </w:t>
      </w:r>
      <w:proofErr w:type="spellStart"/>
      <w:r w:rsidR="005776BC" w:rsidRPr="00483294">
        <w:rPr>
          <w:i/>
          <w:iCs/>
        </w:rPr>
        <w:t>Pediatrics</w:t>
      </w:r>
      <w:proofErr w:type="spellEnd"/>
      <w:r w:rsidR="005776BC" w:rsidRPr="00483294">
        <w:t xml:space="preserve"> </w:t>
      </w:r>
      <w:r w:rsidR="005776BC" w:rsidRPr="00483294">
        <w:rPr>
          <w:b/>
          <w:bCs/>
        </w:rPr>
        <w:t>AAP</w:t>
      </w:r>
      <w:r w:rsidR="005776BC" w:rsidRPr="00483294">
        <w:t xml:space="preserve">, </w:t>
      </w:r>
      <w:r w:rsidR="005776BC" w:rsidRPr="00483294">
        <w:rPr>
          <w:b/>
          <w:bCs/>
        </w:rPr>
        <w:t>WPATH</w:t>
      </w:r>
      <w:r w:rsidR="005776BC" w:rsidRPr="00483294">
        <w:t xml:space="preserve">, </w:t>
      </w:r>
      <w:r w:rsidR="005776BC" w:rsidRPr="00483294">
        <w:rPr>
          <w:i/>
          <w:iCs/>
        </w:rPr>
        <w:t>Endocrine Society</w:t>
      </w:r>
      <w:r w:rsidR="005776BC" w:rsidRPr="00483294">
        <w:t xml:space="preserve"> </w:t>
      </w:r>
      <w:r w:rsidR="005776BC" w:rsidRPr="00483294">
        <w:rPr>
          <w:b/>
          <w:bCs/>
        </w:rPr>
        <w:t>ES</w:t>
      </w:r>
      <w:r w:rsidR="005776BC" w:rsidRPr="00483294">
        <w:t xml:space="preserve">, </w:t>
      </w:r>
      <w:r w:rsidR="005776BC" w:rsidRPr="00483294">
        <w:rPr>
          <w:i/>
          <w:iCs/>
        </w:rPr>
        <w:t xml:space="preserve">American </w:t>
      </w:r>
      <w:proofErr w:type="spellStart"/>
      <w:r w:rsidR="005776BC" w:rsidRPr="00483294">
        <w:rPr>
          <w:i/>
          <w:iCs/>
        </w:rPr>
        <w:t>Medical</w:t>
      </w:r>
      <w:proofErr w:type="spellEnd"/>
      <w:r w:rsidR="005776BC" w:rsidRPr="00483294">
        <w:rPr>
          <w:i/>
          <w:iCs/>
        </w:rPr>
        <w:t xml:space="preserve"> Association</w:t>
      </w:r>
      <w:r w:rsidR="005776BC" w:rsidRPr="00483294">
        <w:t xml:space="preserve"> </w:t>
      </w:r>
      <w:r w:rsidR="005776BC" w:rsidRPr="00483294">
        <w:rPr>
          <w:b/>
          <w:bCs/>
        </w:rPr>
        <w:t>AMA</w:t>
      </w:r>
      <w:r w:rsidR="00113245" w:rsidRPr="00396DF3">
        <w:t>.</w:t>
      </w:r>
      <w:r w:rsidR="00396DF3" w:rsidRPr="00396DF3">
        <w:t>]</w:t>
      </w:r>
    </w:p>
    <w:p w14:paraId="561E984A" w14:textId="77777777" w:rsidR="005776BC" w:rsidRPr="00483294" w:rsidRDefault="005776BC" w:rsidP="006B5AF4"/>
    <w:p w14:paraId="6EB2A0EB" w14:textId="4680E2C3" w:rsidR="00BE38BF" w:rsidRPr="00483294" w:rsidRDefault="005776BC" w:rsidP="006B5AF4">
      <w:r w:rsidRPr="00483294">
        <w:t>C</w:t>
      </w:r>
      <w:r w:rsidR="006B5AF4" w:rsidRPr="00483294">
        <w:t xml:space="preserve">es sociétés médicales </w:t>
      </w:r>
      <w:r w:rsidR="00BE38BF" w:rsidRPr="00483294">
        <w:t>:</w:t>
      </w:r>
    </w:p>
    <w:p w14:paraId="2BA5C1C4" w14:textId="3ECD8025" w:rsidR="002B202A" w:rsidRPr="002B202A" w:rsidRDefault="00A6177B" w:rsidP="009D0EAD">
      <w:pPr>
        <w:pStyle w:val="Paragraphedeliste"/>
        <w:numPr>
          <w:ilvl w:val="0"/>
          <w:numId w:val="21"/>
        </w:numPr>
        <w:ind w:left="357" w:hanging="357"/>
      </w:pPr>
      <w:r w:rsidRPr="00A6177B">
        <w:rPr>
          <w:b/>
          <w:bCs/>
        </w:rPr>
        <w:lastRenderedPageBreak/>
        <w:t xml:space="preserve">sont institutionnellement liées </w:t>
      </w:r>
      <w:r w:rsidR="006B5AF4" w:rsidRPr="002B202A">
        <w:rPr>
          <w:b/>
          <w:bCs/>
        </w:rPr>
        <w:t xml:space="preserve">des journaux </w:t>
      </w:r>
      <w:r w:rsidR="00F343E2" w:rsidRPr="002B202A">
        <w:rPr>
          <w:b/>
          <w:bCs/>
        </w:rPr>
        <w:t>listés publiant des affirmations erronées</w:t>
      </w:r>
      <w:r w:rsidR="002B202A">
        <w:t> :</w:t>
      </w:r>
    </w:p>
    <w:p w14:paraId="5E12DCFB" w14:textId="2B327FE9" w:rsidR="002B202A" w:rsidRDefault="002D2FE7" w:rsidP="000B53BA">
      <w:pPr>
        <w:pStyle w:val="Paragraphedeliste"/>
        <w:numPr>
          <w:ilvl w:val="0"/>
          <w:numId w:val="48"/>
        </w:numPr>
        <w:rPr>
          <w:i/>
          <w:iCs/>
          <w:lang w:val="en-US"/>
        </w:rPr>
      </w:pPr>
      <w:r>
        <w:rPr>
          <w:lang w:val="en-US"/>
        </w:rPr>
        <w:t>[</w:t>
      </w:r>
      <w:r w:rsidR="002B202A">
        <w:rPr>
          <w:lang w:val="en-US"/>
        </w:rPr>
        <w:t xml:space="preserve">ES : </w:t>
      </w:r>
      <w:r w:rsidR="00BE38BF" w:rsidRPr="00592197">
        <w:rPr>
          <w:i/>
          <w:iCs/>
          <w:lang w:val="en-US"/>
        </w:rPr>
        <w:t xml:space="preserve">Journal of </w:t>
      </w:r>
      <w:r w:rsidR="00B12D36" w:rsidRPr="00592197">
        <w:rPr>
          <w:i/>
          <w:iCs/>
          <w:lang w:val="en-US"/>
        </w:rPr>
        <w:t>Clinical</w:t>
      </w:r>
      <w:r w:rsidR="00C31BC8" w:rsidRPr="00592197">
        <w:rPr>
          <w:i/>
          <w:iCs/>
          <w:lang w:val="en-US"/>
        </w:rPr>
        <w:t xml:space="preserve"> </w:t>
      </w:r>
      <w:r w:rsidR="00BE38BF" w:rsidRPr="00592197">
        <w:rPr>
          <w:i/>
          <w:iCs/>
          <w:lang w:val="en-US"/>
        </w:rPr>
        <w:t>Endocri</w:t>
      </w:r>
      <w:r w:rsidR="00A659ED" w:rsidRPr="00592197">
        <w:rPr>
          <w:i/>
          <w:iCs/>
          <w:lang w:val="en-US"/>
        </w:rPr>
        <w:t>nology and Metabolism</w:t>
      </w:r>
      <w:r w:rsidR="002B202A">
        <w:rPr>
          <w:i/>
          <w:iCs/>
          <w:lang w:val="en-US"/>
        </w:rPr>
        <w:t xml:space="preserve"> </w:t>
      </w:r>
      <w:r w:rsidR="00BE38BF" w:rsidRPr="00592197">
        <w:rPr>
          <w:i/>
          <w:iCs/>
          <w:lang w:val="en-US"/>
        </w:rPr>
        <w:t xml:space="preserve"> </w:t>
      </w:r>
    </w:p>
    <w:p w14:paraId="6AD03A80" w14:textId="700E667A" w:rsidR="002B202A" w:rsidRDefault="002B202A" w:rsidP="000B53BA">
      <w:pPr>
        <w:pStyle w:val="Paragraphedeliste"/>
        <w:numPr>
          <w:ilvl w:val="0"/>
          <w:numId w:val="48"/>
        </w:numPr>
        <w:rPr>
          <w:i/>
          <w:iCs/>
          <w:lang w:val="en-US"/>
        </w:rPr>
      </w:pPr>
      <w:r w:rsidRPr="002B202A">
        <w:rPr>
          <w:lang w:val="en-US"/>
        </w:rPr>
        <w:t xml:space="preserve">WPATH </w:t>
      </w:r>
      <w:r>
        <w:rPr>
          <w:i/>
          <w:iCs/>
          <w:lang w:val="en-US"/>
        </w:rPr>
        <w:t xml:space="preserve">: </w:t>
      </w:r>
      <w:r w:rsidR="00BE38BF" w:rsidRPr="00592197">
        <w:rPr>
          <w:i/>
          <w:iCs/>
          <w:lang w:val="en-US"/>
        </w:rPr>
        <w:t>International Journal of Transgender Health</w:t>
      </w:r>
    </w:p>
    <w:p w14:paraId="1A891050" w14:textId="7886A345" w:rsidR="002B202A" w:rsidRDefault="002B202A" w:rsidP="000B53BA">
      <w:pPr>
        <w:pStyle w:val="Paragraphedeliste"/>
        <w:numPr>
          <w:ilvl w:val="0"/>
          <w:numId w:val="48"/>
        </w:numPr>
        <w:rPr>
          <w:i/>
          <w:iCs/>
          <w:lang w:val="en-US"/>
        </w:rPr>
      </w:pPr>
      <w:r w:rsidRPr="002B202A">
        <w:rPr>
          <w:lang w:val="en-US"/>
        </w:rPr>
        <w:t>AAP :</w:t>
      </w:r>
      <w:r>
        <w:rPr>
          <w:i/>
          <w:iCs/>
          <w:lang w:val="en-US"/>
        </w:rPr>
        <w:t xml:space="preserve"> </w:t>
      </w:r>
      <w:r w:rsidR="005D3211" w:rsidRPr="00592197">
        <w:rPr>
          <w:i/>
          <w:iCs/>
          <w:lang w:val="en-US"/>
        </w:rPr>
        <w:t>Pediatrics</w:t>
      </w:r>
    </w:p>
    <w:p w14:paraId="165600E6" w14:textId="18CD742A" w:rsidR="002B202A" w:rsidRDefault="002B202A" w:rsidP="000B53BA">
      <w:pPr>
        <w:pStyle w:val="Paragraphedeliste"/>
        <w:numPr>
          <w:ilvl w:val="0"/>
          <w:numId w:val="48"/>
        </w:numPr>
        <w:rPr>
          <w:i/>
          <w:iCs/>
          <w:lang w:val="en-US"/>
        </w:rPr>
      </w:pPr>
      <w:r w:rsidRPr="002B202A">
        <w:rPr>
          <w:lang w:val="en-US"/>
        </w:rPr>
        <w:t>AMA :</w:t>
      </w:r>
      <w:r>
        <w:rPr>
          <w:i/>
          <w:iCs/>
          <w:lang w:val="en-US"/>
        </w:rPr>
        <w:t xml:space="preserve"> </w:t>
      </w:r>
      <w:r w:rsidR="00592197" w:rsidRPr="00592197">
        <w:rPr>
          <w:i/>
          <w:iCs/>
          <w:lang w:val="en-US"/>
        </w:rPr>
        <w:t xml:space="preserve">Journal of the American Medical Association </w:t>
      </w:r>
      <w:r w:rsidR="00592197">
        <w:rPr>
          <w:i/>
          <w:iCs/>
          <w:lang w:val="en-US"/>
        </w:rPr>
        <w:t>JAMA</w:t>
      </w:r>
      <w:r w:rsidR="00113245" w:rsidRPr="00113245">
        <w:rPr>
          <w:lang w:val="en-US"/>
        </w:rPr>
        <w:t>]</w:t>
      </w:r>
    </w:p>
    <w:p w14:paraId="4B828575" w14:textId="79358A31" w:rsidR="006B5AF4" w:rsidRDefault="006B5AF4" w:rsidP="009D0EAD">
      <w:pPr>
        <w:pStyle w:val="Paragraphedeliste"/>
        <w:numPr>
          <w:ilvl w:val="0"/>
          <w:numId w:val="21"/>
        </w:numPr>
        <w:ind w:left="357" w:hanging="357"/>
      </w:pPr>
      <w:r w:rsidRPr="003F52F2">
        <w:rPr>
          <w:b/>
          <w:bCs/>
        </w:rPr>
        <w:t>p</w:t>
      </w:r>
      <w:r w:rsidR="00A6177B">
        <w:rPr>
          <w:b/>
          <w:bCs/>
        </w:rPr>
        <w:t>ublient</w:t>
      </w:r>
      <w:r w:rsidRPr="003F52F2">
        <w:rPr>
          <w:b/>
          <w:bCs/>
        </w:rPr>
        <w:t xml:space="preserve"> également </w:t>
      </w:r>
      <w:r w:rsidRPr="00AC5373">
        <w:rPr>
          <w:b/>
          <w:bCs/>
        </w:rPr>
        <w:t>des lignes directrice</w:t>
      </w:r>
      <w:r w:rsidR="00AC5373" w:rsidRPr="00AC5373">
        <w:rPr>
          <w:b/>
          <w:bCs/>
        </w:rPr>
        <w:t>s</w:t>
      </w:r>
      <w:r w:rsidR="00030FAA">
        <w:rPr>
          <w:b/>
          <w:bCs/>
        </w:rPr>
        <w:t xml:space="preserve"> (directives) ou des prises de position formulant des recommandations</w:t>
      </w:r>
      <w:r w:rsidR="00AC5373" w:rsidRPr="00AC5373">
        <w:rPr>
          <w:b/>
          <w:bCs/>
        </w:rPr>
        <w:t>. Exemples :</w:t>
      </w:r>
      <w:r w:rsidR="00F56DD9">
        <w:t xml:space="preserve"> </w:t>
      </w:r>
      <w:proofErr w:type="spellStart"/>
      <w:r w:rsidR="00FE1F68" w:rsidRPr="00FE1F68">
        <w:rPr>
          <w:i/>
          <w:iCs/>
        </w:rPr>
        <w:t>Clinical</w:t>
      </w:r>
      <w:proofErr w:type="spellEnd"/>
      <w:r w:rsidR="00FE1F68" w:rsidRPr="00FE1F68">
        <w:rPr>
          <w:i/>
          <w:iCs/>
        </w:rPr>
        <w:t xml:space="preserve"> Practice Guideline</w:t>
      </w:r>
      <w:r w:rsidR="00FE1F68">
        <w:t xml:space="preserve"> </w:t>
      </w:r>
      <w:r w:rsidR="005D3211">
        <w:t xml:space="preserve">de </w:t>
      </w:r>
      <w:r w:rsidR="005D3211" w:rsidRPr="000D5784">
        <w:rPr>
          <w:b/>
          <w:bCs/>
        </w:rPr>
        <w:t>l’</w:t>
      </w:r>
      <w:r w:rsidR="00F96558" w:rsidRPr="000D5784">
        <w:rPr>
          <w:b/>
          <w:bCs/>
          <w:i/>
          <w:iCs/>
        </w:rPr>
        <w:t>E</w:t>
      </w:r>
      <w:r w:rsidR="005D3211" w:rsidRPr="000D5784">
        <w:rPr>
          <w:b/>
          <w:bCs/>
          <w:i/>
          <w:iCs/>
        </w:rPr>
        <w:t xml:space="preserve">ndocrine </w:t>
      </w:r>
      <w:r w:rsidR="00F96558" w:rsidRPr="000D5784">
        <w:rPr>
          <w:b/>
          <w:bCs/>
          <w:i/>
          <w:iCs/>
        </w:rPr>
        <w:t>S</w:t>
      </w:r>
      <w:r w:rsidR="005D3211" w:rsidRPr="000D5784">
        <w:rPr>
          <w:b/>
          <w:bCs/>
          <w:i/>
          <w:iCs/>
        </w:rPr>
        <w:t>ociety</w:t>
      </w:r>
      <w:r w:rsidR="00F96558" w:rsidRPr="00AC5373">
        <w:rPr>
          <w:i/>
          <w:iCs/>
        </w:rPr>
        <w:t xml:space="preserve"> </w:t>
      </w:r>
      <w:r w:rsidR="00F96558">
        <w:t>(</w:t>
      </w:r>
      <w:hyperlink r:id="rId124" w:tooltip="Endocrine Treatment of Transsexual Persons:An Endocrine Society Clinical Practice Guideline" w:history="1">
        <w:r w:rsidR="00F96558" w:rsidRPr="00CB31D3">
          <w:rPr>
            <w:rStyle w:val="Lienhypertexte"/>
          </w:rPr>
          <w:t>2009</w:t>
        </w:r>
      </w:hyperlink>
      <w:r w:rsidR="00F96558">
        <w:t xml:space="preserve"> puis </w:t>
      </w:r>
      <w:hyperlink r:id="rId125" w:tooltip="Endocrine treatment of gender-dysphoric/gender-incongruent persons: An Endocrine Society clinical practice guideline" w:history="1">
        <w:r w:rsidR="00F96558" w:rsidRPr="00C31BC8">
          <w:rPr>
            <w:rStyle w:val="Lienhypertexte"/>
          </w:rPr>
          <w:t>2017</w:t>
        </w:r>
      </w:hyperlink>
      <w:r w:rsidR="00F96558">
        <w:t xml:space="preserve">), </w:t>
      </w:r>
      <w:r w:rsidR="00F96558" w:rsidRPr="00030FAA">
        <w:rPr>
          <w:i/>
          <w:iCs/>
        </w:rPr>
        <w:t>Standards of Care</w:t>
      </w:r>
      <w:r w:rsidR="00F96558">
        <w:t xml:space="preserve"> </w:t>
      </w:r>
      <w:r w:rsidR="00610B3F">
        <w:t xml:space="preserve">de la </w:t>
      </w:r>
      <w:r w:rsidR="00610B3F" w:rsidRPr="000D5784">
        <w:rPr>
          <w:b/>
          <w:bCs/>
        </w:rPr>
        <w:t>WPATH</w:t>
      </w:r>
      <w:r w:rsidR="00610B3F">
        <w:t xml:space="preserve"> </w:t>
      </w:r>
      <w:r w:rsidR="00F96558">
        <w:t>(</w:t>
      </w:r>
      <w:hyperlink r:id="rId126" w:tooltip="Standards of Care for the Health of Transsexual, Transgender, and Gender-Nonconforming People, Version 7" w:history="1">
        <w:r w:rsidR="00F96558" w:rsidRPr="007930B5">
          <w:rPr>
            <w:rStyle w:val="Lienhypertexte"/>
          </w:rPr>
          <w:t>2012</w:t>
        </w:r>
      </w:hyperlink>
      <w:r w:rsidR="00F96558">
        <w:t xml:space="preserve">, </w:t>
      </w:r>
      <w:hyperlink r:id="rId127" w:tooltip="Standards of Care for the Health of Transgender and Gender Diverse People, Version 8" w:history="1">
        <w:r w:rsidR="00F96558" w:rsidRPr="00A659ED">
          <w:rPr>
            <w:rStyle w:val="Lienhypertexte"/>
          </w:rPr>
          <w:t>2022</w:t>
        </w:r>
      </w:hyperlink>
      <w:r w:rsidR="00F96558">
        <w:t>)</w:t>
      </w:r>
      <w:r w:rsidRPr="006B5AF4">
        <w:t>,</w:t>
      </w:r>
      <w:r w:rsidR="00687B06">
        <w:t xml:space="preserve"> </w:t>
      </w:r>
      <w:r w:rsidR="00F56DD9">
        <w:t>déclaration de politique</w:t>
      </w:r>
      <w:r w:rsidR="002A7E51">
        <w:t xml:space="preserve"> </w:t>
      </w:r>
      <w:r w:rsidR="00F56DD9">
        <w:t>de l’</w:t>
      </w:r>
      <w:r w:rsidR="002A7E51" w:rsidRPr="000D5784">
        <w:rPr>
          <w:b/>
          <w:bCs/>
        </w:rPr>
        <w:t>AAP,</w:t>
      </w:r>
      <w:r w:rsidR="00631337" w:rsidRPr="000D5784">
        <w:rPr>
          <w:b/>
          <w:bCs/>
        </w:rPr>
        <w:t xml:space="preserve"> </w:t>
      </w:r>
      <w:hyperlink r:id="rId128" w:tooltip="AAP - Ensuring comprehensive care and support for transgender and gender-diverse children and adolescents" w:history="1">
        <w:r w:rsidR="00631337">
          <w:rPr>
            <w:rStyle w:val="Lienhypertexte"/>
          </w:rPr>
          <w:t>2018</w:t>
        </w:r>
      </w:hyperlink>
      <w:r w:rsidR="008F17B6">
        <w:t> </w:t>
      </w:r>
      <w:r w:rsidR="00DD40EE">
        <w:t xml:space="preserve">; </w:t>
      </w:r>
      <w:r w:rsidR="00D77A1F" w:rsidRPr="00D77A1F">
        <w:rPr>
          <w:i/>
          <w:iCs/>
        </w:rPr>
        <w:t xml:space="preserve">Guidelines for </w:t>
      </w:r>
      <w:proofErr w:type="spellStart"/>
      <w:r w:rsidR="00D77A1F" w:rsidRPr="00D77A1F">
        <w:rPr>
          <w:i/>
          <w:iCs/>
        </w:rPr>
        <w:t>psychological</w:t>
      </w:r>
      <w:proofErr w:type="spellEnd"/>
      <w:r w:rsidR="00D77A1F" w:rsidRPr="00D77A1F">
        <w:rPr>
          <w:i/>
          <w:iCs/>
        </w:rPr>
        <w:t xml:space="preserve"> practice</w:t>
      </w:r>
      <w:r w:rsidR="00D77A1F">
        <w:t xml:space="preserve"> de l’</w:t>
      </w:r>
      <w:r w:rsidR="00D77A1F" w:rsidRPr="00D77A1F">
        <w:rPr>
          <w:i/>
          <w:iCs/>
        </w:rPr>
        <w:t xml:space="preserve">American </w:t>
      </w:r>
      <w:proofErr w:type="spellStart"/>
      <w:r w:rsidR="00D77A1F" w:rsidRPr="00D77A1F">
        <w:rPr>
          <w:i/>
          <w:iCs/>
        </w:rPr>
        <w:t>Psychological</w:t>
      </w:r>
      <w:proofErr w:type="spellEnd"/>
      <w:r w:rsidR="00D77A1F" w:rsidRPr="00D77A1F">
        <w:rPr>
          <w:i/>
          <w:iCs/>
        </w:rPr>
        <w:t xml:space="preserve"> Association </w:t>
      </w:r>
      <w:r w:rsidR="00D77A1F">
        <w:t>(</w:t>
      </w:r>
      <w:r w:rsidR="000D5784" w:rsidRPr="000D5784">
        <w:rPr>
          <w:b/>
          <w:bCs/>
        </w:rPr>
        <w:t>APA</w:t>
      </w:r>
      <w:r w:rsidR="000D5784">
        <w:t xml:space="preserve"> </w:t>
      </w:r>
      <w:hyperlink r:id="rId129" w:tooltip="American psychological Association - Guidelines for psychological practice with transgender and gender nonconforming people." w:history="1">
        <w:r w:rsidR="00D77A1F" w:rsidRPr="00D77A1F">
          <w:rPr>
            <w:rStyle w:val="Lienhypertexte"/>
          </w:rPr>
          <w:t>2015</w:t>
        </w:r>
      </w:hyperlink>
      <w:r w:rsidR="00D77A1F">
        <w:t>).</w:t>
      </w:r>
    </w:p>
    <w:p w14:paraId="14DDBFA6" w14:textId="77777777" w:rsidR="005D3211" w:rsidRDefault="005D3211" w:rsidP="00EC5C8F"/>
    <w:p w14:paraId="77974362" w14:textId="3D5F877E" w:rsidR="009B5DA6" w:rsidRDefault="006B5AF4" w:rsidP="00EC5C8F">
      <w:r w:rsidRPr="006B5AF4">
        <w:t>Les articles formulant des affirmations incorrectes ou non étayées concernant la dysphorie de genre ou ses traitements s’appuient souvent</w:t>
      </w:r>
      <w:r w:rsidR="00D424B3">
        <w:t> :</w:t>
      </w:r>
    </w:p>
    <w:p w14:paraId="5729EDCA" w14:textId="0500A3A4" w:rsidR="009B5DA6" w:rsidRDefault="006B5AF4" w:rsidP="009D0EAD">
      <w:pPr>
        <w:pStyle w:val="Paragraphedeliste"/>
        <w:numPr>
          <w:ilvl w:val="0"/>
          <w:numId w:val="21"/>
        </w:numPr>
        <w:ind w:left="357" w:hanging="357"/>
      </w:pPr>
      <w:r w:rsidRPr="006B5AF4">
        <w:t>sur d’autres articles du même type</w:t>
      </w:r>
      <w:r w:rsidR="009B5DA6">
        <w:t xml:space="preserve"> </w:t>
      </w:r>
      <w:r w:rsidR="009B5DA6" w:rsidRPr="006B5AF4">
        <w:t>plutôt que sur des revues systématiques</w:t>
      </w:r>
      <w:r w:rsidR="00D424B3">
        <w:t>,</w:t>
      </w:r>
      <w:r w:rsidR="009B5DA6">
        <w:t xml:space="preserve"> </w:t>
      </w:r>
      <w:r w:rsidR="009B5DA6" w:rsidRPr="006B5AF4">
        <w:t>privilégiant ainsi l’opinion d’experts</w:t>
      </w:r>
      <w:r w:rsidR="00D424B3">
        <w:t>.</w:t>
      </w:r>
    </w:p>
    <w:p w14:paraId="5D5931FD" w14:textId="436D51B4" w:rsidR="006B5AF4" w:rsidRDefault="006B5AF4" w:rsidP="009D0EAD">
      <w:pPr>
        <w:pStyle w:val="Paragraphedeliste"/>
        <w:numPr>
          <w:ilvl w:val="0"/>
          <w:numId w:val="21"/>
        </w:numPr>
        <w:ind w:left="357" w:hanging="357"/>
      </w:pPr>
      <w:r w:rsidRPr="006B5AF4">
        <w:t xml:space="preserve">sur </w:t>
      </w:r>
      <w:r w:rsidR="009B5DA6">
        <w:t>c</w:t>
      </w:r>
      <w:r w:rsidRPr="006B5AF4">
        <w:t>es recommandations ou prises de position de sociétés médicales.</w:t>
      </w:r>
    </w:p>
    <w:p w14:paraId="6884E158" w14:textId="29FBB8D0" w:rsidR="00C462C2" w:rsidRDefault="00C462C2" w:rsidP="005D3211"/>
    <w:p w14:paraId="69074297" w14:textId="03FD5201" w:rsidR="007852BC" w:rsidRDefault="0031118B" w:rsidP="007852BC">
      <w:pPr>
        <w:pStyle w:val="Titre3"/>
      </w:pPr>
      <w:bookmarkStart w:id="21" w:name="_4.1._Concernant_les"/>
      <w:bookmarkStart w:id="22" w:name="_Toc217928623"/>
      <w:bookmarkEnd w:id="21"/>
      <w:r>
        <w:t>4</w:t>
      </w:r>
      <w:r w:rsidR="002F7E90">
        <w:t>.</w:t>
      </w:r>
      <w:r w:rsidR="001B6DEF">
        <w:t>2</w:t>
      </w:r>
      <w:r w:rsidR="002F7E90">
        <w:t xml:space="preserve">. </w:t>
      </w:r>
      <w:r w:rsidR="007852BC">
        <w:t>Concernant les lignes directrices/déclaration, de politique de sociétés médicales</w:t>
      </w:r>
      <w:bookmarkEnd w:id="22"/>
    </w:p>
    <w:p w14:paraId="6D18F13B" w14:textId="17FB821A" w:rsidR="00693994" w:rsidRDefault="004B15C6" w:rsidP="00942A49">
      <w:r>
        <w:t>Cohn rappelle que d</w:t>
      </w:r>
      <w:r w:rsidR="003F52F2" w:rsidRPr="003F52F2">
        <w:t xml:space="preserve">es lignes directrices fiables reposent sur des revues systématiques des preuves et lient la force des recommandations à la solidité des données disponibles (Block, </w:t>
      </w:r>
      <w:hyperlink r:id="rId130" w:tooltip="Gender dysphoria in young people is rising – and so is professional disagreement." w:history="1">
        <w:r w:rsidR="003F52F2" w:rsidRPr="004450B3">
          <w:rPr>
            <w:rStyle w:val="Lienhypertexte"/>
          </w:rPr>
          <w:t>2023</w:t>
        </w:r>
      </w:hyperlink>
      <w:r w:rsidR="003F52F2" w:rsidRPr="003F52F2">
        <w:t xml:space="preserve"> ; </w:t>
      </w:r>
      <w:proofErr w:type="spellStart"/>
      <w:r w:rsidR="003F52F2" w:rsidRPr="003F52F2">
        <w:t>Brignardello</w:t>
      </w:r>
      <w:proofErr w:type="spellEnd"/>
      <w:r w:rsidR="003F52F2" w:rsidRPr="003F52F2">
        <w:t xml:space="preserve">-Petersen et al., </w:t>
      </w:r>
      <w:hyperlink r:id="rId131" w:tooltip="How to interpret and use a clinical practice guideline or recommendation: Users’ guides to the medical literature" w:history="1">
        <w:r w:rsidR="003F52F2" w:rsidRPr="00344154">
          <w:rPr>
            <w:rStyle w:val="Lienhypertexte"/>
          </w:rPr>
          <w:t>2021</w:t>
        </w:r>
      </w:hyperlink>
      <w:r w:rsidR="003F52F2" w:rsidRPr="003F52F2">
        <w:t xml:space="preserve">). </w:t>
      </w:r>
    </w:p>
    <w:p w14:paraId="17CB4C3E" w14:textId="299265AB" w:rsidR="00453441" w:rsidRDefault="004B15C6" w:rsidP="00942A49">
      <w:r>
        <w:t xml:space="preserve">Il note </w:t>
      </w:r>
      <w:r w:rsidR="00693994">
        <w:t xml:space="preserve">cependant </w:t>
      </w:r>
      <w:r w:rsidR="00873AB3" w:rsidRPr="00873AB3">
        <w:t>d’importantes lacunes dans plusieurs recommandations</w:t>
      </w:r>
      <w:r w:rsidR="00E71B7B">
        <w:t>/lignes directrices</w:t>
      </w:r>
      <w:r w:rsidR="00A62243">
        <w:t xml:space="preserve"> </w:t>
      </w:r>
      <w:r w:rsidR="00992C4F">
        <w:t>:</w:t>
      </w:r>
    </w:p>
    <w:p w14:paraId="206769B1" w14:textId="3A4E69F1" w:rsidR="00EF6FC8" w:rsidRPr="00EF6FC8" w:rsidRDefault="00EF6FC8" w:rsidP="00EF6FC8">
      <w:pPr>
        <w:pStyle w:val="Titre4"/>
      </w:pPr>
      <w:r w:rsidRPr="00EF6FC8">
        <w:t xml:space="preserve">Déclaration de politique de </w:t>
      </w:r>
      <w:r w:rsidRPr="00EF6FC8">
        <w:rPr>
          <w:i/>
        </w:rPr>
        <w:t xml:space="preserve">l’American </w:t>
      </w:r>
      <w:proofErr w:type="spellStart"/>
      <w:r w:rsidRPr="00EF6FC8">
        <w:rPr>
          <w:i/>
        </w:rPr>
        <w:t>Academy</w:t>
      </w:r>
      <w:proofErr w:type="spellEnd"/>
      <w:r w:rsidRPr="00EF6FC8">
        <w:rPr>
          <w:i/>
        </w:rPr>
        <w:t xml:space="preserve"> of </w:t>
      </w:r>
      <w:proofErr w:type="spellStart"/>
      <w:r w:rsidRPr="00EF6FC8">
        <w:rPr>
          <w:i/>
        </w:rPr>
        <w:t>Pediatrics</w:t>
      </w:r>
      <w:proofErr w:type="spellEnd"/>
      <w:r w:rsidRPr="00EF6FC8">
        <w:t xml:space="preserve"> (AAP), </w:t>
      </w:r>
      <w:proofErr w:type="spellStart"/>
      <w:r w:rsidRPr="00EF6FC8">
        <w:t>Rafferty</w:t>
      </w:r>
      <w:proofErr w:type="spellEnd"/>
      <w:r w:rsidRPr="00EF6FC8">
        <w:t xml:space="preserve"> et al., </w:t>
      </w:r>
      <w:hyperlink r:id="rId132" w:tooltip="Ensuring comprehensive care and support for transgender and gender-diverse children and adolescents" w:history="1">
        <w:r w:rsidRPr="00EF6FC8">
          <w:rPr>
            <w:rStyle w:val="Lienhypertexte"/>
          </w:rPr>
          <w:t>2018</w:t>
        </w:r>
      </w:hyperlink>
      <w:r w:rsidRPr="00EF6FC8">
        <w:t> </w:t>
      </w:r>
    </w:p>
    <w:p w14:paraId="4F7115F8" w14:textId="78F00A5E" w:rsidR="00EA16DB" w:rsidRDefault="00EF6FC8" w:rsidP="00942A49">
      <w:r>
        <w:t>E</w:t>
      </w:r>
      <w:r w:rsidRPr="00914617">
        <w:t>lle</w:t>
      </w:r>
      <w:r>
        <w:rPr>
          <w:b/>
          <w:bCs/>
        </w:rPr>
        <w:t xml:space="preserve"> </w:t>
      </w:r>
      <w:r w:rsidRPr="00657BEE">
        <w:t>ne repose pas sur des revues systématiques ;</w:t>
      </w:r>
      <w:r>
        <w:rPr>
          <w:b/>
          <w:bCs/>
        </w:rPr>
        <w:t xml:space="preserve"> </w:t>
      </w:r>
      <w:r w:rsidRPr="00657BEE">
        <w:t xml:space="preserve">les références qu’elle cite « </w:t>
      </w:r>
      <w:r w:rsidRPr="00B3362F">
        <w:rPr>
          <w:i/>
          <w:iCs/>
        </w:rPr>
        <w:t>affirment à plusieurs reprises exactement le contraire de ce que l’AAP leur attribue</w:t>
      </w:r>
      <w:r w:rsidRPr="00657BEE">
        <w:t xml:space="preserve"> » (Cantor, </w:t>
      </w:r>
      <w:hyperlink r:id="rId133" w:tooltip="Transgender and Gender Diverse Children and Adolescents: Fact-Checking of AAP Policy" w:history="1">
        <w:r w:rsidRPr="00FE0197">
          <w:rPr>
            <w:rStyle w:val="Lienhypertexte"/>
          </w:rPr>
          <w:t>2020</w:t>
        </w:r>
      </w:hyperlink>
      <w:r w:rsidRPr="00657BEE">
        <w:t>), parmi d’autres problèmes</w:t>
      </w:r>
      <w:r>
        <w:t xml:space="preserve"> soulevés par</w:t>
      </w:r>
      <w:r w:rsidRPr="00657BEE">
        <w:t xml:space="preserve"> </w:t>
      </w:r>
      <w:proofErr w:type="spellStart"/>
      <w:r w:rsidRPr="00657BEE">
        <w:t>McDeavitt</w:t>
      </w:r>
      <w:proofErr w:type="spellEnd"/>
      <w:r w:rsidRPr="00657BEE">
        <w:t xml:space="preserve">, </w:t>
      </w:r>
      <w:hyperlink r:id="rId134" w:tooltip="Citation issues in the American Academy of Pediatrics policy statement on transgender (Rafferty, 2018)" w:history="1">
        <w:r w:rsidRPr="008E367B">
          <w:rPr>
            <w:rStyle w:val="Lienhypertexte"/>
          </w:rPr>
          <w:t>2025</w:t>
        </w:r>
      </w:hyperlink>
      <w:r w:rsidRPr="00657BEE">
        <w:t>.</w:t>
      </w:r>
      <w:r w:rsidR="001B7CA6">
        <w:t xml:space="preserve"> </w:t>
      </w:r>
    </w:p>
    <w:p w14:paraId="01ECC5AF" w14:textId="40AF9C08" w:rsidR="001B7CA6" w:rsidRDefault="004B15C6" w:rsidP="001B7CA6">
      <w:r>
        <w:t>[</w:t>
      </w:r>
      <w:r w:rsidR="001B7CA6">
        <w:t>U</w:t>
      </w:r>
      <w:r w:rsidR="001B7CA6" w:rsidRPr="00453441">
        <w:t xml:space="preserve">ne </w:t>
      </w:r>
      <w:r w:rsidR="001B7CA6" w:rsidRPr="00875592">
        <w:rPr>
          <w:b/>
          <w:bCs/>
        </w:rPr>
        <w:t>revue systématique</w:t>
      </w:r>
      <w:r w:rsidR="001B7CA6">
        <w:t xml:space="preserve"> (Taylor et al., </w:t>
      </w:r>
      <w:hyperlink r:id="rId135" w:tooltip="Clinical guidelines for children and adolescents experiencing gender dysphoria or incongruence: a systematic review of guideline quality (part 1)" w:history="1">
        <w:r w:rsidR="001B7CA6" w:rsidRPr="00726C13">
          <w:rPr>
            <w:rStyle w:val="Lienhypertexte"/>
          </w:rPr>
          <w:t>2024a</w:t>
        </w:r>
      </w:hyperlink>
      <w:r w:rsidR="001B7CA6">
        <w:t>)</w:t>
      </w:r>
      <w:r w:rsidR="001B7CA6" w:rsidRPr="00453441">
        <w:t xml:space="preserve"> </w:t>
      </w:r>
      <w:r w:rsidR="001B7CA6">
        <w:t xml:space="preserve">a </w:t>
      </w:r>
      <w:r w:rsidR="001B7CA6" w:rsidRPr="00875592">
        <w:rPr>
          <w:b/>
          <w:bCs/>
        </w:rPr>
        <w:t>évalué 23 lignes directrices</w:t>
      </w:r>
      <w:r w:rsidR="001B7CA6" w:rsidRPr="00453441">
        <w:t xml:space="preserve"> </w:t>
      </w:r>
      <w:r w:rsidR="001B7CA6" w:rsidRPr="00875592">
        <w:rPr>
          <w:b/>
          <w:bCs/>
        </w:rPr>
        <w:t>en médecine du genre</w:t>
      </w:r>
      <w:r w:rsidR="001B7CA6">
        <w:t xml:space="preserve">, dans le monde : le score pour « rigueur du </w:t>
      </w:r>
      <w:r w:rsidR="00677616">
        <w:t>développement »</w:t>
      </w:r>
      <w:r w:rsidR="00875592">
        <w:t xml:space="preserve"> obtenu</w:t>
      </w:r>
      <w:r w:rsidR="00677616">
        <w:t xml:space="preserve"> </w:t>
      </w:r>
      <w:r w:rsidR="00E50E04">
        <w:t>pour l’AAP</w:t>
      </w:r>
      <w:r w:rsidR="00677616">
        <w:t xml:space="preserve"> est : </w:t>
      </w:r>
      <w:r w:rsidR="00677616" w:rsidRPr="009636D3">
        <w:rPr>
          <w:b/>
          <w:bCs/>
          <w:color w:val="C00000"/>
        </w:rPr>
        <w:t>12 %.</w:t>
      </w:r>
      <w:r w:rsidRPr="004B15C6">
        <w:t>]</w:t>
      </w:r>
    </w:p>
    <w:p w14:paraId="6F3520B6" w14:textId="77777777" w:rsidR="00EA16DB" w:rsidRDefault="00EA16DB" w:rsidP="00942A49"/>
    <w:p w14:paraId="12FF7EF2" w14:textId="0C4EF613" w:rsidR="00DD40EE" w:rsidRDefault="0059753A" w:rsidP="00DD40EE">
      <w:pPr>
        <w:pStyle w:val="Titre4"/>
      </w:pPr>
      <w:r w:rsidRPr="0059753A">
        <w:rPr>
          <w:color w:val="auto"/>
        </w:rPr>
        <w:t>[</w:t>
      </w:r>
      <w:r w:rsidR="00DD40EE">
        <w:t xml:space="preserve">Déclaration de position de la </w:t>
      </w:r>
      <w:r w:rsidR="00DD40EE" w:rsidRPr="00030FAA">
        <w:rPr>
          <w:i/>
        </w:rPr>
        <w:t xml:space="preserve">Society for Adolescent Health and </w:t>
      </w:r>
      <w:proofErr w:type="spellStart"/>
      <w:r w:rsidR="00DD40EE" w:rsidRPr="00030FAA">
        <w:rPr>
          <w:i/>
        </w:rPr>
        <w:t>Medicine</w:t>
      </w:r>
      <w:proofErr w:type="spellEnd"/>
      <w:r w:rsidR="00875592">
        <w:rPr>
          <w:i/>
        </w:rPr>
        <w:t xml:space="preserve"> (SAHM)</w:t>
      </w:r>
      <w:r w:rsidR="00DD40EE">
        <w:t>,</w:t>
      </w:r>
      <w:r w:rsidR="00DD40EE" w:rsidRPr="008F17B6">
        <w:t xml:space="preserve"> </w:t>
      </w:r>
      <w:hyperlink r:id="rId136" w:tooltip="SAHM, Promoting Health Equality and Nondiscrimination for Transgender and Gender-Diverse Youth" w:history="1">
        <w:r w:rsidR="00DD40EE" w:rsidRPr="003C6458">
          <w:rPr>
            <w:rStyle w:val="Lienhypertexte"/>
          </w:rPr>
          <w:t>2020</w:t>
        </w:r>
      </w:hyperlink>
    </w:p>
    <w:p w14:paraId="7B1211E4" w14:textId="254A2FFB" w:rsidR="00DD40EE" w:rsidRDefault="00DD40EE" w:rsidP="00DD40EE">
      <w:pPr>
        <w:rPr>
          <w:b/>
          <w:bCs/>
          <w:color w:val="E97132" w:themeColor="accent2"/>
        </w:rPr>
      </w:pPr>
      <w:r>
        <w:t>Score pour « rigueur du développement » par la revue systématique : </w:t>
      </w:r>
      <w:r w:rsidRPr="00DD40EE">
        <w:rPr>
          <w:b/>
          <w:bCs/>
          <w:color w:val="C00000"/>
        </w:rPr>
        <w:t>17%.</w:t>
      </w:r>
      <w:r w:rsidR="0059753A" w:rsidRPr="0059753A">
        <w:t>]</w:t>
      </w:r>
    </w:p>
    <w:p w14:paraId="4D0738CF" w14:textId="77777777" w:rsidR="00DD40EE" w:rsidRDefault="00DD40EE" w:rsidP="00942A49"/>
    <w:p w14:paraId="5A62EDB4" w14:textId="161BC412" w:rsidR="00875592" w:rsidRDefault="0059753A" w:rsidP="00875592">
      <w:pPr>
        <w:pStyle w:val="Titre4"/>
      </w:pPr>
      <w:r w:rsidRPr="0059753A">
        <w:rPr>
          <w:color w:val="auto"/>
        </w:rPr>
        <w:t>[</w:t>
      </w:r>
      <w:r w:rsidR="00875592" w:rsidRPr="00D77A1F">
        <w:rPr>
          <w:i/>
        </w:rPr>
        <w:t xml:space="preserve">Guidelines for </w:t>
      </w:r>
      <w:proofErr w:type="spellStart"/>
      <w:r w:rsidR="00875592" w:rsidRPr="00D77A1F">
        <w:rPr>
          <w:i/>
        </w:rPr>
        <w:t>psychological</w:t>
      </w:r>
      <w:proofErr w:type="spellEnd"/>
      <w:r w:rsidR="00875592" w:rsidRPr="00D77A1F">
        <w:rPr>
          <w:i/>
        </w:rPr>
        <w:t xml:space="preserve"> practice</w:t>
      </w:r>
      <w:r w:rsidR="00875592">
        <w:t xml:space="preserve"> de l’</w:t>
      </w:r>
      <w:r w:rsidR="00875592" w:rsidRPr="00D77A1F">
        <w:rPr>
          <w:i/>
        </w:rPr>
        <w:t xml:space="preserve">American </w:t>
      </w:r>
      <w:proofErr w:type="spellStart"/>
      <w:r w:rsidR="00875592" w:rsidRPr="00D77A1F">
        <w:rPr>
          <w:i/>
        </w:rPr>
        <w:t>Psychological</w:t>
      </w:r>
      <w:proofErr w:type="spellEnd"/>
      <w:r w:rsidR="00875592" w:rsidRPr="00D77A1F">
        <w:rPr>
          <w:i/>
        </w:rPr>
        <w:t xml:space="preserve"> Association</w:t>
      </w:r>
      <w:r w:rsidR="00875592">
        <w:rPr>
          <w:i/>
        </w:rPr>
        <w:t xml:space="preserve"> (APA), </w:t>
      </w:r>
      <w:hyperlink r:id="rId137" w:tooltip="American psychological Association - Guidelines for psychological practice with transgender and gender nonconforming people." w:history="1">
        <w:r w:rsidR="00875592" w:rsidRPr="00D77A1F">
          <w:rPr>
            <w:rStyle w:val="Lienhypertexte"/>
          </w:rPr>
          <w:t>2015</w:t>
        </w:r>
      </w:hyperlink>
    </w:p>
    <w:p w14:paraId="3DE1D8C0" w14:textId="7CB9F171" w:rsidR="00875592" w:rsidRDefault="00875592" w:rsidP="00875592">
      <w:pPr>
        <w:rPr>
          <w:b/>
          <w:bCs/>
          <w:color w:val="E97132" w:themeColor="accent2"/>
        </w:rPr>
      </w:pPr>
      <w:r>
        <w:t>Score pour « rigueur du développement » par la revue systématique : </w:t>
      </w:r>
      <w:r>
        <w:rPr>
          <w:b/>
          <w:bCs/>
          <w:color w:val="C00000"/>
        </w:rPr>
        <w:t>24</w:t>
      </w:r>
      <w:r w:rsidRPr="00DD40EE">
        <w:rPr>
          <w:b/>
          <w:bCs/>
          <w:color w:val="C00000"/>
        </w:rPr>
        <w:t>%.</w:t>
      </w:r>
      <w:r w:rsidR="0059753A" w:rsidRPr="0059753A">
        <w:t>]</w:t>
      </w:r>
    </w:p>
    <w:p w14:paraId="3561E6A9" w14:textId="77777777" w:rsidR="00875592" w:rsidRDefault="00875592" w:rsidP="00942A49"/>
    <w:p w14:paraId="54766FD5" w14:textId="6063F90D" w:rsidR="00992C4F" w:rsidRPr="00024C00" w:rsidRDefault="00992C4F" w:rsidP="007852BC">
      <w:pPr>
        <w:pStyle w:val="Titre4"/>
      </w:pPr>
      <w:r w:rsidRPr="00024C00">
        <w:lastRenderedPageBreak/>
        <w:t>L</w:t>
      </w:r>
      <w:r w:rsidR="00453441" w:rsidRPr="00024C00">
        <w:t>ignes directrices de l’</w:t>
      </w:r>
      <w:r w:rsidR="00453441" w:rsidRPr="00024C00">
        <w:rPr>
          <w:i/>
          <w:iCs w:val="0"/>
        </w:rPr>
        <w:t xml:space="preserve">Endocrine Society </w:t>
      </w:r>
      <w:r w:rsidR="00453441" w:rsidRPr="00024C00">
        <w:t>(</w:t>
      </w:r>
      <w:proofErr w:type="spellStart"/>
      <w:r w:rsidR="00453441" w:rsidRPr="00024C00">
        <w:t>Hembree</w:t>
      </w:r>
      <w:proofErr w:type="spellEnd"/>
      <w:r w:rsidR="00453441" w:rsidRPr="00024C00">
        <w:t xml:space="preserve"> et al., </w:t>
      </w:r>
      <w:hyperlink r:id="rId138" w:tooltip="Endocrine treatment of gender-dysphoric/gender-incongruent persons: An Endocrine Society clinical practice guideline" w:history="1">
        <w:r w:rsidRPr="00024C00">
          <w:rPr>
            <w:rStyle w:val="Lienhypertexte"/>
          </w:rPr>
          <w:t>2017</w:t>
        </w:r>
      </w:hyperlink>
      <w:r w:rsidR="00453441" w:rsidRPr="00024C00">
        <w:t xml:space="preserve">) </w:t>
      </w:r>
    </w:p>
    <w:p w14:paraId="0C24ADD2" w14:textId="27DEC320" w:rsidR="00453441" w:rsidRDefault="00F469F8" w:rsidP="00453441">
      <w:r>
        <w:t>Ils ont mené des revues systématiques, mais ils f</w:t>
      </w:r>
      <w:r w:rsidR="00453441" w:rsidRPr="00453441">
        <w:t>ormulent des recommandations fortes sur la base de preuves qu’</w:t>
      </w:r>
      <w:r>
        <w:t>ils</w:t>
      </w:r>
      <w:r w:rsidR="00453441" w:rsidRPr="00453441">
        <w:t xml:space="preserve"> qualifient </w:t>
      </w:r>
      <w:r>
        <w:t>eux</w:t>
      </w:r>
      <w:r w:rsidR="00453441" w:rsidRPr="00453441">
        <w:t xml:space="preserve">-mêmes de faible ou très faible certitude (c’est-à-dire avec une confiance limitée, voire très limitée, dans l’estimation des effets), sans fournir de justification adéquate (Block, </w:t>
      </w:r>
      <w:hyperlink r:id="rId139" w:tooltip="Gender dysphoria in young people is rising – and so is professional disagreement." w:history="1">
        <w:r w:rsidR="00992C4F" w:rsidRPr="004450B3">
          <w:rPr>
            <w:rStyle w:val="Lienhypertexte"/>
          </w:rPr>
          <w:t>2023</w:t>
        </w:r>
      </w:hyperlink>
      <w:r w:rsidR="00453441" w:rsidRPr="00453441">
        <w:t>).</w:t>
      </w:r>
    </w:p>
    <w:p w14:paraId="253E898A" w14:textId="21D6D3C9" w:rsidR="00992C4F" w:rsidRDefault="005746A4" w:rsidP="00453441">
      <w:pPr>
        <w:rPr>
          <w:b/>
          <w:bCs/>
          <w:color w:val="E97132" w:themeColor="accent2"/>
        </w:rPr>
      </w:pPr>
      <w:r>
        <w:t>[</w:t>
      </w:r>
      <w:r w:rsidR="00E50E04">
        <w:t>Score pour « rigueur du développement » par la revue systématique : </w:t>
      </w:r>
      <w:r w:rsidR="009636D3" w:rsidRPr="009636D3">
        <w:rPr>
          <w:b/>
          <w:bCs/>
          <w:color w:val="E97132" w:themeColor="accent2"/>
        </w:rPr>
        <w:t>42 %.</w:t>
      </w:r>
      <w:r w:rsidRPr="005746A4">
        <w:t>]</w:t>
      </w:r>
    </w:p>
    <w:p w14:paraId="27707E6E" w14:textId="77777777" w:rsidR="009636D3" w:rsidRDefault="009636D3" w:rsidP="00453441"/>
    <w:p w14:paraId="2295E163" w14:textId="71879842" w:rsidR="00A838A6" w:rsidRPr="00024C00" w:rsidRDefault="00A838A6" w:rsidP="007852BC">
      <w:pPr>
        <w:pStyle w:val="Titre4"/>
      </w:pPr>
      <w:bookmarkStart w:id="23" w:name="_Standards_of_Care"/>
      <w:bookmarkEnd w:id="23"/>
      <w:r w:rsidRPr="00E71B7B">
        <w:rPr>
          <w:i/>
          <w:iCs w:val="0"/>
        </w:rPr>
        <w:t>Standards of Care</w:t>
      </w:r>
      <w:r w:rsidR="00240EBB" w:rsidRPr="00024C00">
        <w:t xml:space="preserve"> </w:t>
      </w:r>
      <w:r w:rsidR="00024C00">
        <w:t>(</w:t>
      </w:r>
      <w:r w:rsidR="00240EBB" w:rsidRPr="00024C00">
        <w:t>SOC</w:t>
      </w:r>
      <w:r w:rsidR="00024C00">
        <w:t>)</w:t>
      </w:r>
      <w:r w:rsidR="00240EBB" w:rsidRPr="00024C00">
        <w:t xml:space="preserve"> </w:t>
      </w:r>
      <w:r w:rsidRPr="00024C00">
        <w:t>version 8</w:t>
      </w:r>
      <w:r w:rsidR="00240EBB" w:rsidRPr="00024C00">
        <w:t xml:space="preserve"> </w:t>
      </w:r>
      <w:r w:rsidRPr="00024C00">
        <w:t xml:space="preserve">de la WPATH (Coleman et al., </w:t>
      </w:r>
      <w:hyperlink r:id="rId140" w:tooltip="Standards of Care for the Health of Transgender and Gender Diverse People, Version 8" w:history="1">
        <w:r w:rsidRPr="00024C00">
          <w:rPr>
            <w:rStyle w:val="Lienhypertexte"/>
          </w:rPr>
          <w:t>2022</w:t>
        </w:r>
      </w:hyperlink>
      <w:r w:rsidRPr="00024C00">
        <w:t>)</w:t>
      </w:r>
    </w:p>
    <w:p w14:paraId="53B69112" w14:textId="710FC37B" w:rsidR="009636D3" w:rsidRPr="00FA06A7" w:rsidRDefault="005746A4" w:rsidP="004E535B">
      <w:pPr>
        <w:pStyle w:val="Paragraphedeliste"/>
        <w:numPr>
          <w:ilvl w:val="0"/>
          <w:numId w:val="36"/>
        </w:numPr>
        <w:ind w:left="357" w:hanging="357"/>
        <w:rPr>
          <w:b/>
          <w:bCs/>
          <w:color w:val="E97132" w:themeColor="accent2"/>
        </w:rPr>
      </w:pPr>
      <w:r>
        <w:t>[</w:t>
      </w:r>
      <w:r w:rsidR="009636D3">
        <w:t>Score pour « rigueur du développement » par la revue systématique : </w:t>
      </w:r>
      <w:r w:rsidR="004E535B" w:rsidRPr="004E535B">
        <w:rPr>
          <w:b/>
          <w:bCs/>
          <w:color w:val="E97132" w:themeColor="accent2"/>
        </w:rPr>
        <w:t>35</w:t>
      </w:r>
      <w:r w:rsidR="009636D3" w:rsidRPr="004E535B">
        <w:rPr>
          <w:b/>
          <w:bCs/>
          <w:color w:val="E97132" w:themeColor="accent2"/>
        </w:rPr>
        <w:t xml:space="preserve"> %.</w:t>
      </w:r>
      <w:r w:rsidRPr="005746A4">
        <w:t>]</w:t>
      </w:r>
    </w:p>
    <w:p w14:paraId="426A0E30" w14:textId="77777777" w:rsidR="00FA06A7" w:rsidRPr="004E535B" w:rsidRDefault="00FA06A7" w:rsidP="00FA06A7">
      <w:pPr>
        <w:pStyle w:val="Paragraphedeliste"/>
        <w:ind w:left="357"/>
        <w:rPr>
          <w:b/>
          <w:bCs/>
          <w:color w:val="E97132" w:themeColor="accent2"/>
        </w:rPr>
      </w:pPr>
    </w:p>
    <w:p w14:paraId="55956C5C" w14:textId="42CF9B2D" w:rsidR="00BF262F" w:rsidRDefault="00240EBB" w:rsidP="009664DB">
      <w:pPr>
        <w:pStyle w:val="Paragraphedeliste"/>
        <w:numPr>
          <w:ilvl w:val="0"/>
          <w:numId w:val="36"/>
        </w:numPr>
        <w:ind w:left="357" w:hanging="357"/>
      </w:pPr>
      <w:r>
        <w:t>Durant le processus d’élaboration de ces SOC</w:t>
      </w:r>
      <w:r w:rsidR="00C37AA3">
        <w:t>, la WPATH</w:t>
      </w:r>
      <w:r w:rsidR="00453441" w:rsidRPr="00453441">
        <w:t xml:space="preserve"> </w:t>
      </w:r>
      <w:r w:rsidR="00A65A87">
        <w:t xml:space="preserve">a </w:t>
      </w:r>
      <w:r w:rsidR="00A65A87" w:rsidRPr="009664DB">
        <w:rPr>
          <w:b/>
          <w:bCs/>
        </w:rPr>
        <w:t>contrôlé le contenu</w:t>
      </w:r>
      <w:r w:rsidR="00453441" w:rsidRPr="009664DB">
        <w:rPr>
          <w:b/>
          <w:bCs/>
        </w:rPr>
        <w:t xml:space="preserve"> </w:t>
      </w:r>
      <w:r w:rsidR="00A65A87" w:rsidRPr="009664DB">
        <w:rPr>
          <w:b/>
          <w:bCs/>
        </w:rPr>
        <w:t>des</w:t>
      </w:r>
      <w:r w:rsidR="00453441" w:rsidRPr="009664DB">
        <w:rPr>
          <w:b/>
          <w:bCs/>
        </w:rPr>
        <w:t xml:space="preserve"> revues systématiques </w:t>
      </w:r>
      <w:r w:rsidR="00453441" w:rsidRPr="00453441">
        <w:t>qu’elle avait elle-même commandées</w:t>
      </w:r>
      <w:r w:rsidR="00076831">
        <w:t xml:space="preserve"> à l’université Johns Hopkins</w:t>
      </w:r>
      <w:r w:rsidR="005746A4">
        <w:t xml:space="preserve">. </w:t>
      </w:r>
      <w:r w:rsidR="00EA5713">
        <w:t>Puis, d</w:t>
      </w:r>
      <w:r w:rsidR="00C37AA3">
        <w:t xml:space="preserve">ans </w:t>
      </w:r>
      <w:r w:rsidR="00EA5713">
        <w:t>l</w:t>
      </w:r>
      <w:r w:rsidR="00C37AA3">
        <w:t xml:space="preserve">es SOC, la WPATH </w:t>
      </w:r>
      <w:r w:rsidR="00453441" w:rsidRPr="00453441">
        <w:t>affirm</w:t>
      </w:r>
      <w:r w:rsidR="00EA5713">
        <w:t>e</w:t>
      </w:r>
      <w:r w:rsidR="00453441" w:rsidRPr="00453441">
        <w:t xml:space="preserve"> de </w:t>
      </w:r>
      <w:r w:rsidR="00453441" w:rsidRPr="009664DB">
        <w:rPr>
          <w:b/>
          <w:bCs/>
        </w:rPr>
        <w:t>manière inexacte</w:t>
      </w:r>
      <w:r w:rsidR="00F316E2" w:rsidRPr="009664DB">
        <w:rPr>
          <w:b/>
          <w:bCs/>
        </w:rPr>
        <w:t xml:space="preserve"> </w:t>
      </w:r>
      <w:r w:rsidR="00453441" w:rsidRPr="009664DB">
        <w:rPr>
          <w:b/>
          <w:bCs/>
        </w:rPr>
        <w:t>qu’une revue systématique pour ses recommandations concernant les adolescents n’était pas possible</w:t>
      </w:r>
      <w:r w:rsidR="00453441" w:rsidRPr="00453441">
        <w:t xml:space="preserve"> (</w:t>
      </w:r>
      <w:r w:rsidR="00B012E2">
        <w:t xml:space="preserve">p. 546, version </w:t>
      </w:r>
      <w:proofErr w:type="spellStart"/>
      <w:r w:rsidR="00B012E2">
        <w:t>pdf</w:t>
      </w:r>
      <w:proofErr w:type="spellEnd"/>
      <w:r w:rsidR="00B012E2">
        <w:t xml:space="preserve">), </w:t>
      </w:r>
      <w:r w:rsidR="00453441" w:rsidRPr="00453441">
        <w:t xml:space="preserve">alors que </w:t>
      </w:r>
      <w:r w:rsidR="00453441" w:rsidRPr="009664DB">
        <w:rPr>
          <w:b/>
          <w:bCs/>
        </w:rPr>
        <w:t>plusieurs existaient déjà</w:t>
      </w:r>
      <w:r w:rsidR="00453441" w:rsidRPr="00453441">
        <w:t xml:space="preserve"> </w:t>
      </w:r>
      <w:r w:rsidR="00493DE2">
        <w:t>(</w:t>
      </w:r>
      <w:proofErr w:type="spellStart"/>
      <w:r w:rsidR="00453441" w:rsidRPr="00453441">
        <w:t>Brignardello</w:t>
      </w:r>
      <w:proofErr w:type="spellEnd"/>
      <w:r w:rsidR="00453441" w:rsidRPr="00453441">
        <w:t xml:space="preserve">-Petersen &amp; </w:t>
      </w:r>
      <w:proofErr w:type="spellStart"/>
      <w:r w:rsidR="00453441" w:rsidRPr="00453441">
        <w:t>Wiercioch</w:t>
      </w:r>
      <w:proofErr w:type="spellEnd"/>
      <w:r w:rsidR="00453441" w:rsidRPr="00453441">
        <w:t>,</w:t>
      </w:r>
      <w:r w:rsidR="001637D7" w:rsidRPr="003D3A1C">
        <w:t xml:space="preserve"> </w:t>
      </w:r>
      <w:hyperlink r:id="rId141" w:tooltip="Effects of gender affirming therapies: Evaluation of the best available evidence" w:history="1">
        <w:r w:rsidR="001637D7" w:rsidRPr="00D37C0B">
          <w:rPr>
            <w:rStyle w:val="Lienhypertexte"/>
          </w:rPr>
          <w:t>2022</w:t>
        </w:r>
      </w:hyperlink>
      <w:r w:rsidR="00453441" w:rsidRPr="00453441">
        <w:t>)</w:t>
      </w:r>
      <w:r w:rsidR="0077703C">
        <w:t xml:space="preserve"> ; </w:t>
      </w:r>
      <w:r w:rsidR="009664DB">
        <w:t>[</w:t>
      </w:r>
      <w:r w:rsidR="0077703C">
        <w:t>par ailleurs,</w:t>
      </w:r>
      <w:r w:rsidR="00BF262F">
        <w:t xml:space="preserve"> </w:t>
      </w:r>
      <w:r w:rsidR="00BF262F" w:rsidRPr="00BF262F">
        <w:t xml:space="preserve">la responsable de l’équipe </w:t>
      </w:r>
      <w:r w:rsidR="00BF262F">
        <w:t>des revues systématiques</w:t>
      </w:r>
      <w:r w:rsidR="00BF262F" w:rsidRPr="00BF262F">
        <w:t xml:space="preserve"> a expliqué, dans un mail</w:t>
      </w:r>
      <w:r w:rsidR="0077703C">
        <w:t xml:space="preserve"> (31 aout 2020)</w:t>
      </w:r>
      <w:r w:rsidR="00BF262F" w:rsidRPr="00BF262F">
        <w:t xml:space="preserve"> adressé à une représentante d’une agence gouvernementale, que leur équipe a trouvé « </w:t>
      </w:r>
      <w:r w:rsidR="00BF262F" w:rsidRPr="009664DB">
        <w:rPr>
          <w:b/>
          <w:bCs/>
          <w:i/>
          <w:iCs/>
        </w:rPr>
        <w:t>peu à pas de preuves concernant les enfants et adolescents</w:t>
      </w:r>
      <w:r w:rsidR="00BF262F" w:rsidRPr="00BF262F">
        <w:t xml:space="preserve"> »</w:t>
      </w:r>
      <w:r w:rsidR="00EA5713">
        <w:t xml:space="preserve">, et </w:t>
      </w:r>
      <w:r w:rsidR="00076831" w:rsidRPr="00076831">
        <w:t xml:space="preserve">avoir « </w:t>
      </w:r>
      <w:r w:rsidR="00076831" w:rsidRPr="00076831">
        <w:rPr>
          <w:i/>
          <w:iCs/>
        </w:rPr>
        <w:t xml:space="preserve">des problèmes avec ce sponsor [WPATH] qui </w:t>
      </w:r>
      <w:r w:rsidR="00076831" w:rsidRPr="00076831">
        <w:rPr>
          <w:b/>
          <w:bCs/>
          <w:i/>
          <w:iCs/>
        </w:rPr>
        <w:t>tente de restreindre notre capacité à publier</w:t>
      </w:r>
      <w:r w:rsidR="00076831" w:rsidRPr="00076831">
        <w:t xml:space="preserve"> »</w:t>
      </w:r>
      <w:r w:rsidR="00BF262F" w:rsidRPr="00BF262F">
        <w:t xml:space="preserve"> (</w:t>
      </w:r>
      <w:hyperlink r:id="rId142" w:history="1">
        <w:r w:rsidR="00BF262F" w:rsidRPr="00240EBB">
          <w:rPr>
            <w:rStyle w:val="Lienhypertexte"/>
          </w:rPr>
          <w:t>pièce à conviction 173</w:t>
        </w:r>
      </w:hyperlink>
      <w:r w:rsidR="00BF262F" w:rsidRPr="00BF262F">
        <w:t>, p. 23/142)</w:t>
      </w:r>
      <w:r>
        <w:t>.</w:t>
      </w:r>
      <w:r w:rsidR="009664DB">
        <w:t>]</w:t>
      </w:r>
    </w:p>
    <w:p w14:paraId="0581EC29" w14:textId="76F787EA" w:rsidR="009664DB" w:rsidRDefault="00A76EE8" w:rsidP="009664DB">
      <w:pPr>
        <w:pStyle w:val="Paragraphedeliste"/>
        <w:ind w:left="357"/>
      </w:pPr>
      <w:r w:rsidRPr="00A76EE8">
        <w:rPr>
          <w:rFonts w:ascii="Segoe UI Symbol" w:hAnsi="Segoe UI Symbol" w:cs="Segoe UI Symbol"/>
        </w:rPr>
        <w:t>[</w:t>
      </w:r>
      <w:r w:rsidR="009664DB" w:rsidRPr="006C3FD1">
        <w:rPr>
          <w:rFonts w:ascii="Segoe UI Symbol" w:hAnsi="Segoe UI Symbol" w:cs="Segoe UI Symbol"/>
          <w:b/>
          <w:bCs/>
        </w:rPr>
        <w:t>➯</w:t>
      </w:r>
      <w:r w:rsidR="009664DB">
        <w:rPr>
          <w:rFonts w:ascii="Segoe UI Symbol" w:hAnsi="Segoe UI Symbol" w:cs="Segoe UI Symbol"/>
          <w:b/>
          <w:bCs/>
        </w:rPr>
        <w:t xml:space="preserve"> </w:t>
      </w:r>
      <w:r w:rsidR="009664DB" w:rsidRPr="00B7370C">
        <w:t>En savoir plus :</w:t>
      </w:r>
      <w:r w:rsidR="009664DB" w:rsidRPr="004575D4">
        <w:t xml:space="preserve"> </w:t>
      </w:r>
      <w:hyperlink r:id="rId143" w:history="1">
        <w:r w:rsidR="009664DB" w:rsidRPr="00B374E3">
          <w:rPr>
            <w:rStyle w:val="Lienhypertexte"/>
          </w:rPr>
          <w:t>La WPATH a supprimé des preuves</w:t>
        </w:r>
      </w:hyperlink>
      <w:r w:rsidR="009664DB">
        <w:t xml:space="preserve"> , transition-mineurs, en </w:t>
      </w:r>
      <w:r w:rsidR="00FA06A7">
        <w:t>français.</w:t>
      </w:r>
      <w:r>
        <w:t>]</w:t>
      </w:r>
    </w:p>
    <w:p w14:paraId="234ABEAE" w14:textId="77777777" w:rsidR="009664DB" w:rsidRDefault="009664DB" w:rsidP="009664DB">
      <w:pPr>
        <w:pStyle w:val="Paragraphedeliste"/>
        <w:ind w:left="357"/>
      </w:pPr>
    </w:p>
    <w:p w14:paraId="1578B12B" w14:textId="77777777" w:rsidR="00892114" w:rsidRDefault="00C37AA3" w:rsidP="00C37AA3">
      <w:pPr>
        <w:pStyle w:val="Paragraphedeliste"/>
        <w:numPr>
          <w:ilvl w:val="0"/>
          <w:numId w:val="36"/>
        </w:numPr>
        <w:ind w:left="357" w:hanging="357"/>
      </w:pPr>
      <w:r>
        <w:t>A</w:t>
      </w:r>
      <w:r w:rsidR="00453441" w:rsidRPr="00453441">
        <w:t>près publication</w:t>
      </w:r>
      <w:r>
        <w:t xml:space="preserve"> de ces SOC en 2022, la WPATH</w:t>
      </w:r>
      <w:r w:rsidR="00453441" w:rsidRPr="00453441">
        <w:t xml:space="preserve"> a </w:t>
      </w:r>
      <w:r w:rsidR="00453441" w:rsidRPr="00C37AA3">
        <w:rPr>
          <w:b/>
          <w:bCs/>
        </w:rPr>
        <w:t>supprimé toutes les recommandations d’âge minimal</w:t>
      </w:r>
      <w:r w:rsidR="00A65A87">
        <w:t xml:space="preserve">, </w:t>
      </w:r>
      <w:r w:rsidR="00453441" w:rsidRPr="00453441">
        <w:t>à l’exception de celle concernant la phalloplastie</w:t>
      </w:r>
      <w:r w:rsidR="00A65A87">
        <w:t>,</w:t>
      </w:r>
      <w:r w:rsidR="00453441" w:rsidRPr="00453441">
        <w:t xml:space="preserve"> sous la pression de l’administration Biden et de l’AAP</w:t>
      </w:r>
      <w:r w:rsidR="00892114">
        <w:t>.</w:t>
      </w:r>
    </w:p>
    <w:p w14:paraId="454A3E76" w14:textId="55370012" w:rsidR="00DB4D18" w:rsidRDefault="00892114" w:rsidP="00892114">
      <w:pPr>
        <w:rPr>
          <w:lang w:val="en-US"/>
        </w:rPr>
      </w:pPr>
      <w:r w:rsidRPr="00901498">
        <w:rPr>
          <w:lang w:val="en-US"/>
        </w:rPr>
        <w:t>Source</w:t>
      </w:r>
      <w:r w:rsidR="002E4A6A" w:rsidRPr="00901498">
        <w:rPr>
          <w:lang w:val="en-US"/>
        </w:rPr>
        <w:t>s</w:t>
      </w:r>
      <w:r w:rsidR="00901498" w:rsidRPr="00901498">
        <w:rPr>
          <w:lang w:val="en-US"/>
        </w:rPr>
        <w:t xml:space="preserve"> (par Cohn)</w:t>
      </w:r>
      <w:r>
        <w:rPr>
          <w:lang w:val="en-US"/>
        </w:rPr>
        <w:t xml:space="preserve"> : </w:t>
      </w:r>
      <w:r w:rsidR="002E4A6A">
        <w:rPr>
          <w:lang w:val="en-US"/>
        </w:rPr>
        <w:t xml:space="preserve">The </w:t>
      </w:r>
      <w:r w:rsidR="002E4A6A" w:rsidRPr="00522486">
        <w:rPr>
          <w:i/>
          <w:iCs/>
          <w:lang w:val="en-US"/>
        </w:rPr>
        <w:t>BMJ</w:t>
      </w:r>
      <w:r w:rsidR="002E4A6A">
        <w:rPr>
          <w:lang w:val="en-US"/>
        </w:rPr>
        <w:t xml:space="preserve">, </w:t>
      </w:r>
      <w:r w:rsidR="00453441" w:rsidRPr="00892114">
        <w:rPr>
          <w:lang w:val="en-US"/>
        </w:rPr>
        <w:t xml:space="preserve">Block, </w:t>
      </w:r>
      <w:hyperlink r:id="rId144" w:tooltip="Dispute arises over world professional association for transgender health’s involvement in WHO’s trans health guideline" w:history="1">
        <w:r w:rsidR="00453441" w:rsidRPr="00892114">
          <w:rPr>
            <w:rStyle w:val="Lienhypertexte"/>
            <w:lang w:val="en-US"/>
          </w:rPr>
          <w:t>2024a</w:t>
        </w:r>
      </w:hyperlink>
      <w:r w:rsidR="00453441" w:rsidRPr="00892114">
        <w:rPr>
          <w:lang w:val="en-US"/>
        </w:rPr>
        <w:t xml:space="preserve"> ; </w:t>
      </w:r>
      <w:r w:rsidR="00D12331" w:rsidRPr="00892114">
        <w:rPr>
          <w:lang w:val="en-US"/>
        </w:rPr>
        <w:t xml:space="preserve">Rapport </w:t>
      </w:r>
      <w:r w:rsidR="00347271" w:rsidRPr="00892114">
        <w:rPr>
          <w:lang w:val="en-US"/>
        </w:rPr>
        <w:t xml:space="preserve">US </w:t>
      </w:r>
      <w:r w:rsidR="002E4A6A">
        <w:rPr>
          <w:lang w:val="en-US"/>
        </w:rPr>
        <w:t xml:space="preserve">« </w:t>
      </w:r>
      <w:r w:rsidR="00347271" w:rsidRPr="00892114">
        <w:rPr>
          <w:i/>
          <w:iCs/>
          <w:lang w:val="en-US"/>
        </w:rPr>
        <w:t>Treatment for pediatric gender dysphoria</w:t>
      </w:r>
      <w:r w:rsidR="002E4A6A">
        <w:rPr>
          <w:i/>
          <w:iCs/>
          <w:lang w:val="en-US"/>
        </w:rPr>
        <w:t xml:space="preserve"> »</w:t>
      </w:r>
      <w:r w:rsidR="00453441" w:rsidRPr="00892114">
        <w:rPr>
          <w:lang w:val="en-US"/>
        </w:rPr>
        <w:t xml:space="preserve">, </w:t>
      </w:r>
      <w:hyperlink r:id="rId145" w:tooltip="Treatment for pediatric gender dysphoria. US Department of Health and Human Services" w:history="1">
        <w:r w:rsidR="00453441" w:rsidRPr="00892114">
          <w:rPr>
            <w:rStyle w:val="Lienhypertexte"/>
            <w:lang w:val="en-US"/>
          </w:rPr>
          <w:t>2025</w:t>
        </w:r>
      </w:hyperlink>
      <w:r w:rsidR="00274266" w:rsidRPr="00892114">
        <w:rPr>
          <w:lang w:val="en-US"/>
        </w:rPr>
        <w:t xml:space="preserve"> </w:t>
      </w:r>
      <w:proofErr w:type="spellStart"/>
      <w:r w:rsidR="00274266" w:rsidRPr="00892114">
        <w:rPr>
          <w:lang w:val="en-US"/>
        </w:rPr>
        <w:t>en</w:t>
      </w:r>
      <w:proofErr w:type="spellEnd"/>
      <w:r w:rsidR="00274266" w:rsidRPr="00892114">
        <w:rPr>
          <w:lang w:val="en-US"/>
        </w:rPr>
        <w:t xml:space="preserve"> </w:t>
      </w:r>
      <w:hyperlink r:id="rId146" w:tooltip="Rapport du HHS en français" w:history="1">
        <w:r w:rsidR="00274266" w:rsidRPr="00892114">
          <w:rPr>
            <w:rStyle w:val="Lienhypertexte"/>
            <w:lang w:val="en-US"/>
          </w:rPr>
          <w:t>français</w:t>
        </w:r>
      </w:hyperlink>
      <w:r w:rsidR="00453441" w:rsidRPr="00892114">
        <w:rPr>
          <w:lang w:val="en-US"/>
        </w:rPr>
        <w:t xml:space="preserve">, chap. 10 ; </w:t>
      </w:r>
      <w:r w:rsidR="008B59AC" w:rsidRPr="008B59AC">
        <w:rPr>
          <w:i/>
          <w:iCs/>
          <w:lang w:val="en-US"/>
        </w:rPr>
        <w:t>The New York Times</w:t>
      </w:r>
      <w:r w:rsidR="00453441" w:rsidRPr="00892114">
        <w:rPr>
          <w:lang w:val="en-US"/>
        </w:rPr>
        <w:t xml:space="preserve">, </w:t>
      </w:r>
      <w:hyperlink r:id="rId147" w:tooltip="Biden Officials pushed to remove age limits for trans surgery, documents show. New York Times" w:history="1">
        <w:r w:rsidR="00453441" w:rsidRPr="00892114">
          <w:rPr>
            <w:rStyle w:val="Lienhypertexte"/>
            <w:lang w:val="en-US"/>
          </w:rPr>
          <w:t>2024a</w:t>
        </w:r>
      </w:hyperlink>
      <w:r w:rsidR="00453441" w:rsidRPr="00892114">
        <w:rPr>
          <w:lang w:val="en-US"/>
        </w:rPr>
        <w:t xml:space="preserve"> ; </w:t>
      </w:r>
      <w:r w:rsidR="008B59AC" w:rsidRPr="008B59AC">
        <w:rPr>
          <w:i/>
          <w:iCs/>
          <w:lang w:val="en-US"/>
        </w:rPr>
        <w:t>The Economist</w:t>
      </w:r>
      <w:r w:rsidR="00453441" w:rsidRPr="00892114">
        <w:rPr>
          <w:lang w:val="en-US"/>
        </w:rPr>
        <w:t xml:space="preserve">, </w:t>
      </w:r>
      <w:hyperlink r:id="rId148" w:history="1">
        <w:r w:rsidR="00453441" w:rsidRPr="008221FD">
          <w:rPr>
            <w:rStyle w:val="Lienhypertexte"/>
            <w:lang w:val="en-US"/>
          </w:rPr>
          <w:t>2024</w:t>
        </w:r>
      </w:hyperlink>
      <w:r w:rsidR="00453441" w:rsidRPr="00892114">
        <w:rPr>
          <w:lang w:val="en-US"/>
        </w:rPr>
        <w:t>.</w:t>
      </w:r>
      <w:r w:rsidR="00071376">
        <w:rPr>
          <w:lang w:val="en-US"/>
        </w:rPr>
        <w:t xml:space="preserve"> </w:t>
      </w:r>
    </w:p>
    <w:p w14:paraId="49407D17" w14:textId="77777777" w:rsidR="00A65A87" w:rsidRPr="00483294" w:rsidRDefault="00A65A87" w:rsidP="00453441">
      <w:pPr>
        <w:rPr>
          <w:lang w:val="en-US"/>
        </w:rPr>
      </w:pPr>
    </w:p>
    <w:p w14:paraId="5F2EC0A1" w14:textId="15575741" w:rsidR="004575D4" w:rsidRPr="004575D4" w:rsidRDefault="004575D4" w:rsidP="00024C00">
      <w:pPr>
        <w:pStyle w:val="Titre4"/>
      </w:pPr>
      <w:r w:rsidRPr="004575D4">
        <w:t>Référencement circulaire entre directives</w:t>
      </w:r>
    </w:p>
    <w:p w14:paraId="3A390C90" w14:textId="6DC0658B" w:rsidR="00453441" w:rsidRDefault="004575D4" w:rsidP="00453441">
      <w:r>
        <w:t>U</w:t>
      </w:r>
      <w:r w:rsidR="00453441" w:rsidRPr="00453441">
        <w:t xml:space="preserve">ne revue </w:t>
      </w:r>
      <w:r>
        <w:t>systématique</w:t>
      </w:r>
      <w:r w:rsidR="00726C13">
        <w:t xml:space="preserve"> (Taylor et al., </w:t>
      </w:r>
      <w:hyperlink r:id="rId149" w:tooltip="Clinical guidelines for children and adolescents experiencing gender dysphoria or incongruence: a systematic review of guideline quality (part 1)" w:history="1">
        <w:r w:rsidR="00096BBB">
          <w:rPr>
            <w:rStyle w:val="Lienhypertexte"/>
          </w:rPr>
          <w:t>2024a</w:t>
        </w:r>
      </w:hyperlink>
      <w:r w:rsidR="00726C13">
        <w:t>)</w:t>
      </w:r>
      <w:r w:rsidR="00453441" w:rsidRPr="00453441">
        <w:t xml:space="preserve"> des lignes directrices pédiatriques en médecine du genre a retracé la manière dont les recommandations de la plupart des sociétés reposent sur des recommandations antérieures de l’</w:t>
      </w:r>
      <w:r w:rsidR="00453441" w:rsidRPr="00024C00">
        <w:rPr>
          <w:i/>
          <w:iCs/>
        </w:rPr>
        <w:t xml:space="preserve">Endocrine Society </w:t>
      </w:r>
      <w:r w:rsidR="00453441" w:rsidRPr="00453441">
        <w:t xml:space="preserve">et de la WPATH, elles-mêmes interdépendantes, plutôt que de suivre les standards internationaux d’élaboration des lignes directrices. Les auteurs notent que cela </w:t>
      </w:r>
      <w:r w:rsidR="00453441" w:rsidRPr="00453441">
        <w:rPr>
          <w:i/>
          <w:iCs/>
        </w:rPr>
        <w:t xml:space="preserve">« peut expliquer pourquoi il a existé jusqu’à récemment un </w:t>
      </w:r>
      <w:r w:rsidR="00453441" w:rsidRPr="00E71B7B">
        <w:rPr>
          <w:b/>
          <w:bCs/>
          <w:i/>
          <w:iCs/>
        </w:rPr>
        <w:t>consensus apparent</w:t>
      </w:r>
      <w:r w:rsidR="00453441" w:rsidRPr="00453441">
        <w:rPr>
          <w:i/>
          <w:iCs/>
        </w:rPr>
        <w:t xml:space="preserve"> sur des domaines clés de la pratique pour lesquels </w:t>
      </w:r>
      <w:r w:rsidR="00453441" w:rsidRPr="00E71B7B">
        <w:rPr>
          <w:b/>
          <w:bCs/>
          <w:i/>
          <w:iCs/>
        </w:rPr>
        <w:t>les preuves restent insuffisantes</w:t>
      </w:r>
      <w:r w:rsidR="00453441" w:rsidRPr="00453441">
        <w:t xml:space="preserve"> »</w:t>
      </w:r>
      <w:r w:rsidR="00024C00">
        <w:t xml:space="preserve">. </w:t>
      </w:r>
      <w:r w:rsidR="00453441" w:rsidRPr="00453441">
        <w:t xml:space="preserve">Ils concluent que « </w:t>
      </w:r>
      <w:r w:rsidR="00453441" w:rsidRPr="00453441">
        <w:rPr>
          <w:i/>
          <w:iCs/>
        </w:rPr>
        <w:t xml:space="preserve">les services de santé et les professionnels devraient </w:t>
      </w:r>
      <w:r w:rsidR="00453441" w:rsidRPr="00E71B7B">
        <w:rPr>
          <w:b/>
          <w:bCs/>
          <w:i/>
          <w:iCs/>
        </w:rPr>
        <w:t>tenir compte de la faible qualité et du caractère interrelié</w:t>
      </w:r>
      <w:r w:rsidR="00453441" w:rsidRPr="00453441">
        <w:rPr>
          <w:i/>
          <w:iCs/>
        </w:rPr>
        <w:t xml:space="preserve"> des recommandations publiées</w:t>
      </w:r>
      <w:r w:rsidR="00453441" w:rsidRPr="00453441">
        <w:t xml:space="preserve"> »</w:t>
      </w:r>
      <w:r w:rsidR="00024C00">
        <w:t>.</w:t>
      </w:r>
    </w:p>
    <w:p w14:paraId="2C61334C" w14:textId="36C69BA1" w:rsidR="00A80EDA" w:rsidRPr="00453441" w:rsidRDefault="00D4361C" w:rsidP="00453441">
      <w:r w:rsidRPr="00D4361C">
        <w:rPr>
          <w:rFonts w:ascii="Segoe UI Symbol" w:hAnsi="Segoe UI Symbol" w:cs="Segoe UI Symbol"/>
        </w:rPr>
        <w:t>[</w:t>
      </w:r>
      <w:r w:rsidR="006C3FD1" w:rsidRPr="006C3FD1">
        <w:rPr>
          <w:rFonts w:ascii="Segoe UI Symbol" w:hAnsi="Segoe UI Symbol" w:cs="Segoe UI Symbol"/>
          <w:b/>
          <w:bCs/>
        </w:rPr>
        <w:t>➯</w:t>
      </w:r>
      <w:r w:rsidR="006C3FD1">
        <w:rPr>
          <w:rFonts w:ascii="Segoe UI Symbol" w:hAnsi="Segoe UI Symbol" w:cs="Segoe UI Symbol"/>
          <w:b/>
          <w:bCs/>
        </w:rPr>
        <w:t xml:space="preserve"> </w:t>
      </w:r>
      <w:r w:rsidR="00A80EDA" w:rsidRPr="00B7370C">
        <w:t>En savoir plus</w:t>
      </w:r>
      <w:r w:rsidR="00A80EDA">
        <w:t xml:space="preserve"> : </w:t>
      </w:r>
      <w:hyperlink r:id="rId150" w:tooltip="Vidéo illustrant le référencement circulaire" w:history="1">
        <w:r w:rsidR="00A80EDA" w:rsidRPr="00A80EDA">
          <w:rPr>
            <w:rStyle w:val="Lienhypertexte"/>
          </w:rPr>
          <w:t>vidéo</w:t>
        </w:r>
      </w:hyperlink>
      <w:r w:rsidR="00A80EDA">
        <w:t xml:space="preserve"> en français illustrant le référencement circulaire décrit dans cette revue (1 min 30 s).</w:t>
      </w:r>
      <w:r>
        <w:t>]</w:t>
      </w:r>
    </w:p>
    <w:p w14:paraId="31EB677B" w14:textId="47331F30" w:rsidR="00453441" w:rsidRDefault="00946BC6" w:rsidP="00942A49">
      <w:r>
        <w:rPr>
          <w:noProof/>
        </w:rPr>
        <w:lastRenderedPageBreak/>
        <w:drawing>
          <wp:inline distT="0" distB="0" distL="0" distR="0" wp14:anchorId="0F405B8B" wp14:editId="7A5C9304">
            <wp:extent cx="5760720" cy="3208655"/>
            <wp:effectExtent l="0" t="0" r="0" b="0"/>
            <wp:docPr id="1689574571" name="Image 1">
              <a:hlinkClick xmlns:a="http://schemas.openxmlformats.org/drawingml/2006/main" r:id="rId150" tooltip="Vidéo sur le référencement circulai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74571" name="Image 1">
                      <a:hlinkClick r:id="rId150" tooltip="Vidéo sur le référencement circulaire"/>
                      <a:extLst>
                        <a:ext uri="{C183D7F6-B498-43B3-948B-1728B52AA6E4}">
                          <adec:decorative xmlns:adec="http://schemas.microsoft.com/office/drawing/2017/decorative" val="1"/>
                        </a:ext>
                      </a:extLst>
                    </pic:cNvPr>
                    <pic:cNvPicPr/>
                  </pic:nvPicPr>
                  <pic:blipFill>
                    <a:blip r:embed="rId151"/>
                    <a:stretch>
                      <a:fillRect/>
                    </a:stretch>
                  </pic:blipFill>
                  <pic:spPr>
                    <a:xfrm>
                      <a:off x="0" y="0"/>
                      <a:ext cx="5760720" cy="3208655"/>
                    </a:xfrm>
                    <a:prstGeom prst="rect">
                      <a:avLst/>
                    </a:prstGeom>
                  </pic:spPr>
                </pic:pic>
              </a:graphicData>
            </a:graphic>
          </wp:inline>
        </w:drawing>
      </w:r>
    </w:p>
    <w:p w14:paraId="2D41BFC0" w14:textId="2E9108DA" w:rsidR="00A62243" w:rsidRDefault="0031118B" w:rsidP="00EF6FC8">
      <w:pPr>
        <w:pStyle w:val="Titre3"/>
      </w:pPr>
      <w:bookmarkStart w:id="24" w:name="_4.3._Concernant_les"/>
      <w:bookmarkStart w:id="25" w:name="_Toc217928624"/>
      <w:bookmarkEnd w:id="24"/>
      <w:r>
        <w:t>4</w:t>
      </w:r>
      <w:r w:rsidR="00EA16DB">
        <w:t>.</w:t>
      </w:r>
      <w:r w:rsidR="001B6DEF">
        <w:t>3</w:t>
      </w:r>
      <w:r w:rsidR="00EA16DB">
        <w:t xml:space="preserve">. </w:t>
      </w:r>
      <w:r w:rsidR="00914617">
        <w:t>C</w:t>
      </w:r>
      <w:r w:rsidR="00A62243" w:rsidRPr="00B3362F">
        <w:t>oncernant les prises de position de sociétés médicales</w:t>
      </w:r>
      <w:r w:rsidR="001C5354">
        <w:t xml:space="preserve"> américaines</w:t>
      </w:r>
      <w:bookmarkEnd w:id="25"/>
    </w:p>
    <w:p w14:paraId="431CA6E0" w14:textId="0B410580" w:rsidR="00901498" w:rsidRPr="00901498" w:rsidRDefault="00901498" w:rsidP="00901498">
      <w:r>
        <w:t>Cohn cite quelques affirmations typiques :</w:t>
      </w:r>
    </w:p>
    <w:p w14:paraId="31E1DD03" w14:textId="67E69E21" w:rsidR="00E57EB9" w:rsidRDefault="00A62243" w:rsidP="009D0EAD">
      <w:pPr>
        <w:pStyle w:val="Paragraphedeliste"/>
        <w:numPr>
          <w:ilvl w:val="0"/>
          <w:numId w:val="21"/>
        </w:numPr>
        <w:ind w:left="357" w:hanging="357"/>
      </w:pPr>
      <w:r w:rsidRPr="00EF6FC8">
        <w:rPr>
          <w:i/>
          <w:iCs/>
        </w:rPr>
        <w:t xml:space="preserve">American </w:t>
      </w:r>
      <w:proofErr w:type="spellStart"/>
      <w:r w:rsidRPr="00EF6FC8">
        <w:rPr>
          <w:i/>
          <w:iCs/>
        </w:rPr>
        <w:t>Psychological</w:t>
      </w:r>
      <w:proofErr w:type="spellEnd"/>
      <w:r w:rsidRPr="00EF6FC8">
        <w:rPr>
          <w:i/>
          <w:iCs/>
        </w:rPr>
        <w:t xml:space="preserve"> Association</w:t>
      </w:r>
      <w:r w:rsidRPr="00992C4F">
        <w:t xml:space="preserve">, </w:t>
      </w:r>
      <w:hyperlink r:id="rId152" w:tooltip="APA Policy Statement on Affirming Evidence-Based Inclusive Care for Transgender, Gender Diverse, , Addressing Misinformation(...)" w:history="1">
        <w:r w:rsidRPr="00992C4F">
          <w:rPr>
            <w:rStyle w:val="Lienhypertexte"/>
          </w:rPr>
          <w:t>2024</w:t>
        </w:r>
      </w:hyperlink>
      <w:r w:rsidR="00D327BE">
        <w:t> :</w:t>
      </w:r>
      <w:r w:rsidR="00E57EB9">
        <w:t xml:space="preserve"> </w:t>
      </w:r>
      <w:r w:rsidR="00992C4F" w:rsidRPr="00992C4F">
        <w:t xml:space="preserve">existence d’un « </w:t>
      </w:r>
      <w:r w:rsidR="00992C4F" w:rsidRPr="00EF6FC8">
        <w:rPr>
          <w:i/>
          <w:iCs/>
        </w:rPr>
        <w:t>corpus de recherche complet […] soutenant l’impact positif</w:t>
      </w:r>
      <w:r w:rsidR="00992C4F" w:rsidRPr="00992C4F">
        <w:t xml:space="preserve"> </w:t>
      </w:r>
      <w:r w:rsidR="00992C4F" w:rsidRPr="00EF6FC8">
        <w:rPr>
          <w:i/>
          <w:iCs/>
        </w:rPr>
        <w:t xml:space="preserve">des </w:t>
      </w:r>
      <w:r w:rsidR="00870C55" w:rsidRPr="00EF6FC8">
        <w:rPr>
          <w:i/>
          <w:iCs/>
        </w:rPr>
        <w:t>traitements affirmant le genre</w:t>
      </w:r>
      <w:r w:rsidR="00870C55">
        <w:t> »</w:t>
      </w:r>
    </w:p>
    <w:p w14:paraId="79DE6D55" w14:textId="5061AA66" w:rsidR="00B3362F" w:rsidRDefault="00B3362F" w:rsidP="009D0EAD">
      <w:pPr>
        <w:pStyle w:val="Paragraphedeliste"/>
        <w:numPr>
          <w:ilvl w:val="0"/>
          <w:numId w:val="21"/>
        </w:numPr>
        <w:ind w:left="357" w:hanging="357"/>
      </w:pPr>
      <w:r w:rsidRPr="00EF6FC8">
        <w:rPr>
          <w:i/>
          <w:iCs/>
        </w:rPr>
        <w:t>Endocrine Society</w:t>
      </w:r>
      <w:r w:rsidRPr="00992C4F">
        <w:t xml:space="preserve">, </w:t>
      </w:r>
      <w:hyperlink r:id="rId153" w:tooltip="Transgender health: An Endocrine Society position statement" w:history="1">
        <w:r w:rsidRPr="00992C4F">
          <w:rPr>
            <w:rStyle w:val="Lienhypertexte"/>
          </w:rPr>
          <w:t>2020</w:t>
        </w:r>
      </w:hyperlink>
      <w:r w:rsidR="007130FE">
        <w:t xml:space="preserve"> : </w:t>
      </w:r>
      <w:r w:rsidR="00992C4F" w:rsidRPr="00992C4F">
        <w:t xml:space="preserve">« </w:t>
      </w:r>
      <w:r w:rsidR="00992C4F" w:rsidRPr="00EF6FC8">
        <w:rPr>
          <w:i/>
          <w:iCs/>
        </w:rPr>
        <w:t>les jeunes ayant accès aux soins d’affirmation de genre […] présentent des améliorations significatives de leur santé mentale</w:t>
      </w:r>
      <w:r w:rsidR="00992C4F" w:rsidRPr="00992C4F">
        <w:t xml:space="preserve"> »</w:t>
      </w:r>
    </w:p>
    <w:p w14:paraId="4BECEAFF" w14:textId="154D4144" w:rsidR="00992C4F" w:rsidRDefault="00695D8F" w:rsidP="009D0EAD">
      <w:pPr>
        <w:pStyle w:val="Paragraphedeliste"/>
        <w:numPr>
          <w:ilvl w:val="0"/>
          <w:numId w:val="21"/>
        </w:numPr>
        <w:ind w:left="357" w:hanging="357"/>
      </w:pPr>
      <w:r w:rsidRPr="00992C4F">
        <w:t xml:space="preserve">American </w:t>
      </w:r>
      <w:proofErr w:type="spellStart"/>
      <w:r w:rsidRPr="00992C4F">
        <w:t>Medical</w:t>
      </w:r>
      <w:proofErr w:type="spellEnd"/>
      <w:r w:rsidRPr="00992C4F">
        <w:t xml:space="preserve"> Association, </w:t>
      </w:r>
      <w:hyperlink r:id="rId154" w:tooltip="AMA reinforces opposition to restrictions on transgender medical care. Press Release." w:history="1">
        <w:r w:rsidRPr="00992C4F">
          <w:rPr>
            <w:rStyle w:val="Lienhypertexte"/>
          </w:rPr>
          <w:t>2021</w:t>
        </w:r>
      </w:hyperlink>
      <w:r>
        <w:t xml:space="preserve"> : </w:t>
      </w:r>
      <w:r w:rsidR="00992C4F" w:rsidRPr="00992C4F">
        <w:t xml:space="preserve">« </w:t>
      </w:r>
      <w:r w:rsidR="00992C4F" w:rsidRPr="00EF6FC8">
        <w:rPr>
          <w:i/>
          <w:iCs/>
        </w:rPr>
        <w:t>les soins d’affirmation de genre sont des soins médicalement nécessaires, fondés sur des preuves, qui améliorent la santé physique et mentale</w:t>
      </w:r>
      <w:r w:rsidR="00992C4F" w:rsidRPr="00992C4F">
        <w:t xml:space="preserve"> ».</w:t>
      </w:r>
    </w:p>
    <w:p w14:paraId="3B1448F5" w14:textId="1E54C68C" w:rsidR="00286915" w:rsidRDefault="00286915" w:rsidP="00992C4F"/>
    <w:p w14:paraId="17D31650" w14:textId="57C65C4F" w:rsidR="00D327BE" w:rsidRDefault="0031118B" w:rsidP="00E4775E">
      <w:pPr>
        <w:pStyle w:val="Titre3"/>
      </w:pPr>
      <w:bookmarkStart w:id="26" w:name="_Toc217928625"/>
      <w:r>
        <w:t>4</w:t>
      </w:r>
      <w:r w:rsidR="00843A36">
        <w:t>.</w:t>
      </w:r>
      <w:r w:rsidR="001B6DEF">
        <w:t>4</w:t>
      </w:r>
      <w:r w:rsidR="00843A36">
        <w:t xml:space="preserve">. </w:t>
      </w:r>
      <w:r w:rsidR="00D327BE" w:rsidRPr="001C5354">
        <w:t xml:space="preserve">Réactions de ces sociétés </w:t>
      </w:r>
      <w:r w:rsidR="00157208">
        <w:t xml:space="preserve">vis-à-vis de </w:t>
      </w:r>
      <w:r w:rsidR="00E4775E">
        <w:t xml:space="preserve">directives </w:t>
      </w:r>
      <w:r w:rsidR="001C5354" w:rsidRPr="00992C4F">
        <w:t>parvenant à des conclusions contraires</w:t>
      </w:r>
      <w:bookmarkEnd w:id="26"/>
    </w:p>
    <w:p w14:paraId="6470FC03" w14:textId="21E7D57F" w:rsidR="00B7370C" w:rsidRPr="00B7370C" w:rsidRDefault="00B7370C" w:rsidP="00B7370C">
      <w:r>
        <w:t>Cohn décrit les réactions :</w:t>
      </w:r>
    </w:p>
    <w:p w14:paraId="73F595CB" w14:textId="49B97DCD" w:rsidR="00157208" w:rsidRPr="00992C4F" w:rsidRDefault="00E4775E" w:rsidP="008E7C40">
      <w:pPr>
        <w:pStyle w:val="Titre4"/>
      </w:pPr>
      <w:r>
        <w:t>V</w:t>
      </w:r>
      <w:r w:rsidR="00157208" w:rsidRPr="001C5354">
        <w:t xml:space="preserve">is-à-vis du Cass Review </w:t>
      </w:r>
    </w:p>
    <w:p w14:paraId="312D0064" w14:textId="0A4289B1" w:rsidR="005F727D" w:rsidRDefault="002C2BB8" w:rsidP="009D0EAD">
      <w:pPr>
        <w:pStyle w:val="Paragraphedeliste"/>
        <w:numPr>
          <w:ilvl w:val="0"/>
          <w:numId w:val="21"/>
        </w:numPr>
        <w:ind w:left="357" w:hanging="357"/>
      </w:pPr>
      <w:r>
        <w:t>L</w:t>
      </w:r>
      <w:r w:rsidRPr="002C2BB8">
        <w:t>’AAP</w:t>
      </w:r>
      <w:r w:rsidR="005F727D">
        <w:t xml:space="preserve"> n’a pas réagi officiel</w:t>
      </w:r>
      <w:r w:rsidR="007D060C">
        <w:t>l</w:t>
      </w:r>
      <w:r w:rsidR="005F727D">
        <w:t>ement</w:t>
      </w:r>
      <w:r w:rsidR="007D060C">
        <w:t>, mais a maintenu sa position</w:t>
      </w:r>
      <w:r w:rsidR="00730D55">
        <w:t>.</w:t>
      </w:r>
      <w:r w:rsidR="00757219">
        <w:t xml:space="preserve"> </w:t>
      </w:r>
    </w:p>
    <w:p w14:paraId="5AC120B3" w14:textId="43C24913" w:rsidR="002C2BB8" w:rsidRDefault="007D060C" w:rsidP="009D0EAD">
      <w:pPr>
        <w:pStyle w:val="Paragraphedeliste"/>
        <w:numPr>
          <w:ilvl w:val="0"/>
          <w:numId w:val="21"/>
        </w:numPr>
        <w:ind w:left="357" w:hanging="357"/>
      </w:pPr>
      <w:r>
        <w:t>L</w:t>
      </w:r>
      <w:r w:rsidR="002C2BB8" w:rsidRPr="002C2BB8">
        <w:t>’</w:t>
      </w:r>
      <w:r w:rsidR="002C2BB8" w:rsidRPr="00E4775E">
        <w:rPr>
          <w:i/>
          <w:iCs/>
        </w:rPr>
        <w:t>Endocrine Society</w:t>
      </w:r>
      <w:r w:rsidR="005F727D" w:rsidRPr="00E4775E">
        <w:rPr>
          <w:i/>
          <w:iCs/>
        </w:rPr>
        <w:t xml:space="preserve"> </w:t>
      </w:r>
      <w:r w:rsidR="005F727D">
        <w:t>(ES)</w:t>
      </w:r>
      <w:r w:rsidR="002C2BB8" w:rsidRPr="002C2BB8">
        <w:t xml:space="preserve"> et la WPATH ont maintenu leurs recommandations, en contestant </w:t>
      </w:r>
      <w:r w:rsidR="002C2BB8">
        <w:t>l</w:t>
      </w:r>
      <w:r w:rsidR="002C2BB8" w:rsidRPr="002C2BB8">
        <w:t xml:space="preserve">a portée </w:t>
      </w:r>
      <w:r w:rsidR="002C2BB8">
        <w:t>du Cass Review</w:t>
      </w:r>
      <w:r w:rsidR="005F727D">
        <w:t xml:space="preserve"> (</w:t>
      </w:r>
      <w:r w:rsidR="0078008C">
        <w:t>« </w:t>
      </w:r>
      <w:r w:rsidR="0078008C" w:rsidRPr="00E4775E">
        <w:rPr>
          <w:b/>
          <w:bCs/>
          <w:i/>
          <w:iCs/>
        </w:rPr>
        <w:t>ne contient aucune nouvelle recherche qui contredirait les recommandations</w:t>
      </w:r>
      <w:r w:rsidR="0078008C" w:rsidRPr="00E4775E">
        <w:rPr>
          <w:b/>
          <w:bCs/>
        </w:rPr>
        <w:t> »</w:t>
      </w:r>
      <w:r w:rsidR="005F727D">
        <w:t>, selon l’ES)</w:t>
      </w:r>
      <w:r w:rsidR="002C2BB8">
        <w:t xml:space="preserve"> </w:t>
      </w:r>
      <w:r w:rsidR="002C2BB8" w:rsidRPr="002C2BB8">
        <w:t xml:space="preserve">et en affirmant </w:t>
      </w:r>
      <w:r w:rsidR="005F727D">
        <w:t xml:space="preserve">(pour la WPATH) </w:t>
      </w:r>
      <w:r w:rsidR="002C2BB8" w:rsidRPr="002C2BB8">
        <w:t xml:space="preserve">que leurs </w:t>
      </w:r>
      <w:r w:rsidR="005F727D">
        <w:t>Standards of Care</w:t>
      </w:r>
      <w:r w:rsidR="002C2BB8" w:rsidRPr="002C2BB8">
        <w:t xml:space="preserve"> </w:t>
      </w:r>
      <w:r w:rsidR="0078008C">
        <w:t>sont « </w:t>
      </w:r>
      <w:r w:rsidR="0078008C" w:rsidRPr="00E4775E">
        <w:rPr>
          <w:b/>
          <w:bCs/>
          <w:i/>
          <w:iCs/>
        </w:rPr>
        <w:t>basés sur bien plus de revues systématiques que le Cass Review</w:t>
      </w:r>
      <w:r w:rsidR="0078008C" w:rsidRPr="00E4775E">
        <w:rPr>
          <w:b/>
          <w:bCs/>
        </w:rPr>
        <w:t xml:space="preserve"> » </w:t>
      </w:r>
      <w:r w:rsidR="002C2BB8" w:rsidRPr="00992C4F">
        <w:t xml:space="preserve">(Block, </w:t>
      </w:r>
      <w:hyperlink r:id="rId155" w:tooltip="Gender medicine in the US: how the Cass review failed to land" w:history="1">
        <w:r w:rsidR="002C2BB8" w:rsidRPr="00992C4F">
          <w:rPr>
            <w:rStyle w:val="Lienhypertexte"/>
          </w:rPr>
          <w:t>2024b</w:t>
        </w:r>
      </w:hyperlink>
      <w:r w:rsidR="002C2BB8" w:rsidRPr="00992C4F">
        <w:t xml:space="preserve">). </w:t>
      </w:r>
    </w:p>
    <w:p w14:paraId="6C246252" w14:textId="77777777" w:rsidR="00286915" w:rsidRDefault="00286915" w:rsidP="00992C4F"/>
    <w:p w14:paraId="5E221F95" w14:textId="7BE653B9" w:rsidR="00FC2B13" w:rsidRDefault="00E4775E" w:rsidP="00FC2B13">
      <w:pPr>
        <w:pStyle w:val="Titre4"/>
      </w:pPr>
      <w:r>
        <w:t>V</w:t>
      </w:r>
      <w:r w:rsidRPr="001C5354">
        <w:t xml:space="preserve">is-à-vis du </w:t>
      </w:r>
      <w:r>
        <w:t xml:space="preserve">rapport </w:t>
      </w:r>
      <w:r w:rsidR="00360080">
        <w:t xml:space="preserve">publié par le US </w:t>
      </w:r>
      <w:proofErr w:type="spellStart"/>
      <w:r w:rsidR="00360080" w:rsidRPr="00992C4F">
        <w:t>Department</w:t>
      </w:r>
      <w:proofErr w:type="spellEnd"/>
      <w:r w:rsidR="00360080" w:rsidRPr="00992C4F">
        <w:t xml:space="preserve"> of Health and Human Services</w:t>
      </w:r>
    </w:p>
    <w:tbl>
      <w:tblPr>
        <w:tblStyle w:val="Grilledutableau"/>
        <w:tblW w:w="0" w:type="auto"/>
        <w:tblLook w:val="04A0" w:firstRow="1" w:lastRow="0" w:firstColumn="1" w:lastColumn="0" w:noHBand="0" w:noVBand="1"/>
      </w:tblPr>
      <w:tblGrid>
        <w:gridCol w:w="9062"/>
      </w:tblGrid>
      <w:tr w:rsidR="00FC2B13" w14:paraId="581FA7DA" w14:textId="77777777" w:rsidTr="00FC2B13">
        <w:tc>
          <w:tcPr>
            <w:tcW w:w="9062" w:type="dxa"/>
          </w:tcPr>
          <w:p w14:paraId="13506F12" w14:textId="466BC0BC" w:rsidR="00FC2B13" w:rsidRDefault="00D4361C" w:rsidP="00FC2B13">
            <w:r>
              <w:t>[</w:t>
            </w:r>
            <w:r w:rsidR="00FC2B13">
              <w:t xml:space="preserve">En mai 2025, le </w:t>
            </w:r>
            <w:hyperlink r:id="rId156" w:tooltip="page de présentation du rapport sur le site du Department of Health and Human Services." w:history="1">
              <w:r w:rsidR="00FC2B13" w:rsidRPr="00C545E2">
                <w:rPr>
                  <w:rStyle w:val="Lienhypertexte"/>
                </w:rPr>
                <w:t>ministère de la santé</w:t>
              </w:r>
            </w:hyperlink>
            <w:r w:rsidR="00FC2B13">
              <w:t xml:space="preserve"> des États-Unis a</w:t>
            </w:r>
            <w:r w:rsidR="00FC2B13" w:rsidRPr="00115AFF">
              <w:t xml:space="preserve"> publié une</w:t>
            </w:r>
            <w:r w:rsidR="00FC2B13">
              <w:t xml:space="preserve"> </w:t>
            </w:r>
            <w:r w:rsidR="00B7370C">
              <w:t>« </w:t>
            </w:r>
            <w:r w:rsidR="00FC2B13" w:rsidRPr="00B7370C">
              <w:rPr>
                <w:b/>
                <w:bCs/>
              </w:rPr>
              <w:t>évaluation des preuves et des meilleurs pratiques</w:t>
            </w:r>
            <w:r w:rsidR="00B7370C">
              <w:rPr>
                <w:b/>
                <w:bCs/>
              </w:rPr>
              <w:t> »</w:t>
            </w:r>
            <w:r w:rsidR="00FC2B13">
              <w:t xml:space="preserve"> (rapport </w:t>
            </w:r>
            <w:hyperlink r:id="rId157" w:tooltip="rapport publié par le US Department of Health and Human Services en 2025" w:history="1">
              <w:proofErr w:type="spellStart"/>
              <w:r w:rsidR="00FC2B13" w:rsidRPr="00115AFF">
                <w:rPr>
                  <w:rStyle w:val="Lienhypertexte"/>
                  <w:i/>
                  <w:iCs/>
                </w:rPr>
                <w:t>Treatment</w:t>
              </w:r>
              <w:proofErr w:type="spellEnd"/>
              <w:r w:rsidR="00FC2B13" w:rsidRPr="00115AFF">
                <w:rPr>
                  <w:rStyle w:val="Lienhypertexte"/>
                  <w:i/>
                  <w:iCs/>
                </w:rPr>
                <w:t xml:space="preserve"> for </w:t>
              </w:r>
              <w:proofErr w:type="spellStart"/>
              <w:r w:rsidR="00FC2B13" w:rsidRPr="00115AFF">
                <w:rPr>
                  <w:rStyle w:val="Lienhypertexte"/>
                  <w:i/>
                  <w:iCs/>
                </w:rPr>
                <w:t>Pediatric</w:t>
              </w:r>
              <w:proofErr w:type="spellEnd"/>
              <w:r w:rsidR="00FC2B13" w:rsidRPr="00115AFF">
                <w:rPr>
                  <w:rStyle w:val="Lienhypertexte"/>
                  <w:i/>
                  <w:iCs/>
                </w:rPr>
                <w:t xml:space="preserve"> </w:t>
              </w:r>
              <w:proofErr w:type="spellStart"/>
              <w:r w:rsidR="00FC2B13" w:rsidRPr="00115AFF">
                <w:rPr>
                  <w:rStyle w:val="Lienhypertexte"/>
                  <w:i/>
                  <w:iCs/>
                </w:rPr>
                <w:t>Gender</w:t>
              </w:r>
              <w:proofErr w:type="spellEnd"/>
              <w:r w:rsidR="00FC2B13" w:rsidRPr="00115AFF">
                <w:rPr>
                  <w:rStyle w:val="Lienhypertexte"/>
                  <w:i/>
                  <w:iCs/>
                </w:rPr>
                <w:t xml:space="preserve"> </w:t>
              </w:r>
              <w:proofErr w:type="spellStart"/>
              <w:r w:rsidR="00FC2B13" w:rsidRPr="00115AFF">
                <w:rPr>
                  <w:rStyle w:val="Lienhypertexte"/>
                  <w:i/>
                  <w:iCs/>
                </w:rPr>
                <w:t>Dysphoria</w:t>
              </w:r>
              <w:proofErr w:type="spellEnd"/>
            </w:hyperlink>
            <w:r w:rsidR="00FC2B13">
              <w:t xml:space="preserve">). Ce rapport a </w:t>
            </w:r>
            <w:r w:rsidR="00FC2B13">
              <w:lastRenderedPageBreak/>
              <w:t xml:space="preserve">été actualisé en novembre </w:t>
            </w:r>
            <w:proofErr w:type="gramStart"/>
            <w:r w:rsidR="00FC2B13">
              <w:t>suite à une</w:t>
            </w:r>
            <w:proofErr w:type="gramEnd"/>
            <w:r w:rsidR="00FC2B13">
              <w:t xml:space="preserve"> évaluation par les pairs,</w:t>
            </w:r>
            <w:r w:rsidR="00FC2B13" w:rsidRPr="00C01BF3">
              <w:t xml:space="preserve"> avec l’ajout des auteurs</w:t>
            </w:r>
            <w:r w:rsidR="00FC2B13">
              <w:t xml:space="preserve">. Lire </w:t>
            </w:r>
            <w:proofErr w:type="gramStart"/>
            <w:r w:rsidR="00FC2B13">
              <w:t>ce  rapport</w:t>
            </w:r>
            <w:proofErr w:type="gramEnd"/>
            <w:r w:rsidR="00FC2B13">
              <w:t xml:space="preserve"> </w:t>
            </w:r>
            <w:hyperlink r:id="rId158" w:history="1">
              <w:r w:rsidR="00FC2B13" w:rsidRPr="002F7E90">
                <w:rPr>
                  <w:rStyle w:val="Lienhypertexte"/>
                </w:rPr>
                <w:t>en français</w:t>
              </w:r>
            </w:hyperlink>
            <w:r w:rsidR="00FC2B13">
              <w:t>).</w:t>
            </w:r>
          </w:p>
          <w:p w14:paraId="43B028F2" w14:textId="3B2E36C2" w:rsidR="00FC2B13" w:rsidRDefault="00FC2B13" w:rsidP="00992C4F">
            <w:r w:rsidRPr="006C3FD1">
              <w:rPr>
                <w:rFonts w:ascii="Segoe UI Symbol" w:hAnsi="Segoe UI Symbol" w:cs="Segoe UI Symbol"/>
                <w:b/>
                <w:bCs/>
              </w:rPr>
              <w:t>➯</w:t>
            </w:r>
            <w:r>
              <w:rPr>
                <w:rFonts w:ascii="Segoe UI Symbol" w:hAnsi="Segoe UI Symbol" w:cs="Segoe UI Symbol"/>
                <w:b/>
                <w:bCs/>
              </w:rPr>
              <w:t xml:space="preserve"> </w:t>
            </w:r>
            <w:r w:rsidRPr="00B7370C">
              <w:t>En savoir plus sur ce rapport :</w:t>
            </w:r>
            <w:r>
              <w:t xml:space="preserve"> </w:t>
            </w:r>
            <w:hyperlink r:id="rId159" w:history="1">
              <w:r w:rsidRPr="00561B50">
                <w:rPr>
                  <w:rStyle w:val="Lienhypertexte"/>
                </w:rPr>
                <w:t>États-Unis : le « rapport HHS » sur la dysphorie de genre chez les mineurs</w:t>
              </w:r>
            </w:hyperlink>
            <w:r>
              <w:t xml:space="preserve"> (en français), Transition-mineurs.</w:t>
            </w:r>
            <w:r w:rsidR="00D4361C">
              <w:t>]</w:t>
            </w:r>
          </w:p>
        </w:tc>
      </w:tr>
    </w:tbl>
    <w:p w14:paraId="738EFFB8" w14:textId="6338B285" w:rsidR="00360080" w:rsidRDefault="00992C4F" w:rsidP="009D0EAD">
      <w:pPr>
        <w:pStyle w:val="Paragraphedeliste"/>
        <w:numPr>
          <w:ilvl w:val="0"/>
          <w:numId w:val="21"/>
        </w:numPr>
        <w:ind w:left="357" w:hanging="357"/>
      </w:pPr>
      <w:r w:rsidRPr="00992C4F">
        <w:lastRenderedPageBreak/>
        <w:t>Bien qu</w:t>
      </w:r>
      <w:r w:rsidR="00B7370C">
        <w:t xml:space="preserve">e ce rapport </w:t>
      </w:r>
      <w:r w:rsidRPr="00992C4F">
        <w:t xml:space="preserve">repose sur une revue rigoureuse des preuves, l’AAP l’a néanmoins qualifié de document « </w:t>
      </w:r>
      <w:r w:rsidRPr="004F6BE7">
        <w:rPr>
          <w:b/>
          <w:bCs/>
          <w:i/>
          <w:iCs/>
        </w:rPr>
        <w:t>privilégiant des opinions</w:t>
      </w:r>
      <w:r w:rsidRPr="00733372">
        <w:rPr>
          <w:i/>
          <w:iCs/>
        </w:rPr>
        <w:t xml:space="preserve"> au détriment d’examens impartiaux des preuves</w:t>
      </w:r>
      <w:r w:rsidRPr="00992C4F">
        <w:t xml:space="preserve"> » (</w:t>
      </w:r>
      <w:proofErr w:type="spellStart"/>
      <w:r w:rsidRPr="00992C4F">
        <w:t>Kressley</w:t>
      </w:r>
      <w:proofErr w:type="spellEnd"/>
      <w:r w:rsidRPr="00992C4F">
        <w:t xml:space="preserve">, </w:t>
      </w:r>
      <w:hyperlink r:id="rId160" w:tooltip="AAP statement on HHS report treatment for pediatric gender dysphoria" w:history="1">
        <w:r w:rsidRPr="00733372">
          <w:rPr>
            <w:rStyle w:val="Lienhypertexte"/>
          </w:rPr>
          <w:t>2025</w:t>
        </w:r>
      </w:hyperlink>
      <w:r w:rsidRPr="00992C4F">
        <w:t>)</w:t>
      </w:r>
      <w:r w:rsidR="00733372">
        <w:t>.</w:t>
      </w:r>
    </w:p>
    <w:p w14:paraId="04764F81" w14:textId="30B9D2B6" w:rsidR="00360080" w:rsidRDefault="00733372" w:rsidP="009D0EAD">
      <w:pPr>
        <w:pStyle w:val="Paragraphedeliste"/>
        <w:numPr>
          <w:ilvl w:val="0"/>
          <w:numId w:val="21"/>
        </w:numPr>
        <w:ind w:left="357" w:hanging="357"/>
      </w:pPr>
      <w:r w:rsidRPr="00992C4F">
        <w:t xml:space="preserve">La </w:t>
      </w:r>
      <w:r w:rsidR="00992C4F" w:rsidRPr="00992C4F">
        <w:t xml:space="preserve">WPATH a répondu de manière inexacte que « </w:t>
      </w:r>
      <w:r w:rsidR="00992C4F" w:rsidRPr="00733372">
        <w:rPr>
          <w:i/>
          <w:iCs/>
        </w:rPr>
        <w:t xml:space="preserve">les études montrent </w:t>
      </w:r>
      <w:r w:rsidR="00992C4F" w:rsidRPr="004F6BE7">
        <w:rPr>
          <w:b/>
          <w:bCs/>
          <w:i/>
          <w:iCs/>
        </w:rPr>
        <w:t>de façon constante</w:t>
      </w:r>
      <w:r w:rsidR="00992C4F" w:rsidRPr="00733372">
        <w:rPr>
          <w:i/>
          <w:iCs/>
        </w:rPr>
        <w:t xml:space="preserve"> </w:t>
      </w:r>
      <w:r w:rsidR="00992C4F" w:rsidRPr="004F6BE7">
        <w:rPr>
          <w:b/>
          <w:bCs/>
          <w:i/>
          <w:iCs/>
        </w:rPr>
        <w:t>l’impact positif</w:t>
      </w:r>
      <w:r w:rsidR="00992C4F" w:rsidRPr="00733372">
        <w:rPr>
          <w:i/>
          <w:iCs/>
        </w:rPr>
        <w:t xml:space="preserve"> [des soins d’affirmation de genre], notamment une amélioration de la santé mentale et de la qualité de vie globale</w:t>
      </w:r>
      <w:r w:rsidR="00992C4F" w:rsidRPr="00992C4F">
        <w:t xml:space="preserve"> » (WPATH &amp; USPATH, </w:t>
      </w:r>
      <w:hyperlink r:id="rId161" w:tooltip="Response to the HHS report on gender dysphoria." w:history="1">
        <w:r w:rsidR="00992C4F" w:rsidRPr="00733372">
          <w:rPr>
            <w:rStyle w:val="Lienhypertexte"/>
          </w:rPr>
          <w:t>2025</w:t>
        </w:r>
      </w:hyperlink>
      <w:r w:rsidR="00992C4F" w:rsidRPr="00992C4F">
        <w:t xml:space="preserve">), </w:t>
      </w:r>
    </w:p>
    <w:p w14:paraId="2ADA9AA0" w14:textId="4471DA95" w:rsidR="00992C4F" w:rsidRDefault="00733372" w:rsidP="009D0EAD">
      <w:pPr>
        <w:pStyle w:val="Paragraphedeliste"/>
        <w:numPr>
          <w:ilvl w:val="0"/>
          <w:numId w:val="21"/>
        </w:numPr>
        <w:ind w:left="357" w:hanging="357"/>
      </w:pPr>
      <w:r>
        <w:t>L’</w:t>
      </w:r>
      <w:r w:rsidR="00992C4F" w:rsidRPr="00733372">
        <w:rPr>
          <w:i/>
          <w:iCs/>
        </w:rPr>
        <w:t xml:space="preserve">Endocrine Society </w:t>
      </w:r>
      <w:r w:rsidR="00992C4F" w:rsidRPr="00992C4F">
        <w:t xml:space="preserve">a affirmé à tort que « </w:t>
      </w:r>
      <w:r w:rsidR="00992C4F" w:rsidRPr="00733372">
        <w:rPr>
          <w:i/>
          <w:iCs/>
        </w:rPr>
        <w:t xml:space="preserve">des études médicales montrent que l’accès à ces soins </w:t>
      </w:r>
      <w:r w:rsidR="00992C4F" w:rsidRPr="004F6BE7">
        <w:rPr>
          <w:b/>
          <w:bCs/>
          <w:i/>
          <w:iCs/>
        </w:rPr>
        <w:t>améliore le bien-être</w:t>
      </w:r>
      <w:r w:rsidR="00992C4F" w:rsidRPr="00733372">
        <w:rPr>
          <w:i/>
          <w:iCs/>
        </w:rPr>
        <w:t xml:space="preserve"> des personnes transgenres et non binaires</w:t>
      </w:r>
      <w:r w:rsidR="00992C4F" w:rsidRPr="00992C4F">
        <w:t xml:space="preserve"> » (Christensen, </w:t>
      </w:r>
      <w:hyperlink r:id="rId162" w:tooltip="HHS letter tells health care providers to disregard treatment protocols for trans people, adhere to report by unnamed authors" w:history="1">
        <w:r w:rsidR="00992C4F" w:rsidRPr="004F6BE7">
          <w:rPr>
            <w:rStyle w:val="Lienhypertexte"/>
          </w:rPr>
          <w:t>2025</w:t>
        </w:r>
      </w:hyperlink>
      <w:r w:rsidR="00992C4F" w:rsidRPr="00992C4F">
        <w:t>).</w:t>
      </w:r>
    </w:p>
    <w:p w14:paraId="6B95576F" w14:textId="77777777" w:rsidR="00A62243" w:rsidRDefault="00A62243" w:rsidP="00992C4F"/>
    <w:p w14:paraId="0FBF20F7" w14:textId="0186BA84" w:rsidR="00616DC3" w:rsidRDefault="00381C04" w:rsidP="00381C04">
      <w:pPr>
        <w:pStyle w:val="Titre3"/>
      </w:pPr>
      <w:bookmarkStart w:id="27" w:name="_Toc217928626"/>
      <w:r>
        <w:t xml:space="preserve">Conclusion : </w:t>
      </w:r>
      <w:r w:rsidR="00616DC3">
        <w:t>Boucle fermée</w:t>
      </w:r>
      <w:bookmarkEnd w:id="27"/>
    </w:p>
    <w:p w14:paraId="0B92E3C0" w14:textId="0BEB35D0" w:rsidR="00946BC6" w:rsidRPr="00946BC6" w:rsidRDefault="00946BC6" w:rsidP="00946BC6">
      <w:r>
        <w:t xml:space="preserve">Cohn décrit le processus : </w:t>
      </w:r>
    </w:p>
    <w:p w14:paraId="24143A17" w14:textId="5DA603EB" w:rsidR="00616DC3" w:rsidRDefault="00616DC3" w:rsidP="002F3BF5">
      <w:pPr>
        <w:pStyle w:val="Paragraphedeliste"/>
        <w:numPr>
          <w:ilvl w:val="0"/>
          <w:numId w:val="21"/>
        </w:numPr>
        <w:ind w:left="357" w:hanging="357"/>
      </w:pPr>
      <w:r w:rsidRPr="00616DC3">
        <w:t>Les recommandations</w:t>
      </w:r>
      <w:r w:rsidR="00FC2B13">
        <w:t xml:space="preserve"> formulées par les</w:t>
      </w:r>
      <w:r w:rsidRPr="00616DC3">
        <w:t xml:space="preserve"> </w:t>
      </w:r>
      <w:r w:rsidR="00C77F6F">
        <w:t xml:space="preserve">lignes directrices de </w:t>
      </w:r>
      <w:r w:rsidRPr="00616DC3">
        <w:t>sociétés médicales</w:t>
      </w:r>
      <w:r w:rsidR="00C77F6F">
        <w:t xml:space="preserve"> (WPATH, </w:t>
      </w:r>
      <w:r w:rsidR="00C77F6F" w:rsidRPr="00EE0F24">
        <w:rPr>
          <w:i/>
          <w:iCs/>
        </w:rPr>
        <w:t>Endocrine Society</w:t>
      </w:r>
      <w:r w:rsidR="00C77F6F">
        <w:t>)</w:t>
      </w:r>
      <w:r w:rsidRPr="00616DC3">
        <w:t xml:space="preserve"> ne sont pas basées sur </w:t>
      </w:r>
      <w:r w:rsidR="00C77F6F">
        <w:t xml:space="preserve">les résultats </w:t>
      </w:r>
      <w:r w:rsidRPr="00616DC3">
        <w:t>d</w:t>
      </w:r>
      <w:r w:rsidR="00C77F6F">
        <w:t>’</w:t>
      </w:r>
      <w:r w:rsidRPr="00616DC3">
        <w:t xml:space="preserve">examens systématiques des preuves, mais </w:t>
      </w:r>
      <w:r w:rsidRPr="00EE0F24">
        <w:rPr>
          <w:b/>
          <w:bCs/>
        </w:rPr>
        <w:t>sur les déclarations des unes et des autres</w:t>
      </w:r>
      <w:r w:rsidRPr="00616DC3">
        <w:t xml:space="preserve"> (Taylor et al., </w:t>
      </w:r>
      <w:r w:rsidR="00096BBB">
        <w:t xml:space="preserve"> </w:t>
      </w:r>
      <w:hyperlink r:id="rId163" w:tooltip="Clinical guidelines for children and adolescents experiencing gender dysphoria or incongruence: a systematic review of guideline quality (part 1)" w:history="1">
        <w:r w:rsidR="00096BBB">
          <w:rPr>
            <w:rStyle w:val="Lienhypertexte"/>
          </w:rPr>
          <w:t>2024a</w:t>
        </w:r>
      </w:hyperlink>
      <w:r w:rsidRPr="00616DC3">
        <w:t>)</w:t>
      </w:r>
      <w:r>
        <w:t>,</w:t>
      </w:r>
      <w:r w:rsidRPr="00616DC3">
        <w:t xml:space="preserve"> donnant </w:t>
      </w:r>
      <w:r w:rsidRPr="00EE0F24">
        <w:rPr>
          <w:b/>
          <w:bCs/>
        </w:rPr>
        <w:t>l’illusion d’un consensus</w:t>
      </w:r>
      <w:r w:rsidRPr="00616DC3">
        <w:t xml:space="preserve">. </w:t>
      </w:r>
    </w:p>
    <w:p w14:paraId="264A4362" w14:textId="5EEBA19E" w:rsidR="00616DC3" w:rsidRDefault="00EE0F24" w:rsidP="002F3BF5">
      <w:pPr>
        <w:pStyle w:val="Paragraphedeliste"/>
        <w:numPr>
          <w:ilvl w:val="0"/>
          <w:numId w:val="21"/>
        </w:numPr>
        <w:ind w:left="357" w:hanging="357"/>
      </w:pPr>
      <w:r>
        <w:t>L</w:t>
      </w:r>
      <w:r w:rsidR="00616DC3" w:rsidRPr="00616DC3">
        <w:t>orsqu’un article est soumis à un</w:t>
      </w:r>
      <w:r w:rsidR="005368AB">
        <w:t xml:space="preserve"> journal, </w:t>
      </w:r>
      <w:r w:rsidR="00616DC3" w:rsidRPr="00616DC3">
        <w:t xml:space="preserve">ces recommandations </w:t>
      </w:r>
      <w:r w:rsidR="00616DC3" w:rsidRPr="00EE0F24">
        <w:rPr>
          <w:b/>
          <w:bCs/>
        </w:rPr>
        <w:t>servent de référence d’autorité</w:t>
      </w:r>
      <w:r w:rsidR="00616DC3" w:rsidRPr="00616DC3">
        <w:t xml:space="preserve">, </w:t>
      </w:r>
      <w:r w:rsidR="00616DC3">
        <w:t>même si l’article soumis</w:t>
      </w:r>
      <w:r w:rsidR="00616DC3" w:rsidRPr="00616DC3">
        <w:t xml:space="preserve"> </w:t>
      </w:r>
      <w:r w:rsidR="00616DC3">
        <w:t>s’appuie sur</w:t>
      </w:r>
      <w:r w:rsidR="00616DC3" w:rsidRPr="00616DC3">
        <w:t xml:space="preserve"> les données probantes : les articles </w:t>
      </w:r>
      <w:r w:rsidR="00616DC3" w:rsidRPr="00EE0F24">
        <w:rPr>
          <w:b/>
          <w:bCs/>
        </w:rPr>
        <w:t xml:space="preserve">publiés </w:t>
      </w:r>
      <w:r>
        <w:rPr>
          <w:b/>
          <w:bCs/>
        </w:rPr>
        <w:t xml:space="preserve">tendent à </w:t>
      </w:r>
      <w:r w:rsidR="00616DC3" w:rsidRPr="00EE0F24">
        <w:rPr>
          <w:b/>
          <w:bCs/>
        </w:rPr>
        <w:t>s’alignent sur ces recommandations</w:t>
      </w:r>
      <w:r w:rsidR="00616DC3" w:rsidRPr="00616DC3">
        <w:t xml:space="preserve">, ceux qui ne s’alignent pas tendent à être rejetés. </w:t>
      </w:r>
    </w:p>
    <w:p w14:paraId="692098E8" w14:textId="586D73AD" w:rsidR="00616DC3" w:rsidRDefault="00616DC3" w:rsidP="002F3BF5">
      <w:pPr>
        <w:pStyle w:val="Paragraphedeliste"/>
        <w:numPr>
          <w:ilvl w:val="0"/>
          <w:numId w:val="21"/>
        </w:numPr>
        <w:ind w:left="357" w:hanging="357"/>
      </w:pPr>
      <w:r w:rsidRPr="00616DC3">
        <w:t xml:space="preserve">Ces articles </w:t>
      </w:r>
      <w:r w:rsidR="00010665">
        <w:t xml:space="preserve">publiés </w:t>
      </w:r>
      <w:r w:rsidRPr="00616DC3">
        <w:t xml:space="preserve">servent parfois de base à </w:t>
      </w:r>
      <w:r w:rsidRPr="00010665">
        <w:rPr>
          <w:b/>
          <w:bCs/>
        </w:rPr>
        <w:t>l’actualisation de ces recommandations</w:t>
      </w:r>
      <w:r w:rsidRPr="00616DC3">
        <w:t>.</w:t>
      </w:r>
    </w:p>
    <w:p w14:paraId="10114FE5" w14:textId="77777777" w:rsidR="00616DC3" w:rsidRDefault="00616DC3" w:rsidP="00992C4F"/>
    <w:p w14:paraId="4A94DA1D" w14:textId="77777777" w:rsidR="00616DC3" w:rsidRPr="00616DC3" w:rsidRDefault="00616DC3" w:rsidP="00992C4F">
      <w:pPr>
        <w:rPr>
          <w:b/>
          <w:bCs/>
        </w:rPr>
      </w:pPr>
      <w:r w:rsidRPr="00616DC3">
        <w:rPr>
          <w:b/>
          <w:bCs/>
        </w:rPr>
        <w:t xml:space="preserve"> Conséquences : </w:t>
      </w:r>
    </w:p>
    <w:p w14:paraId="17E53C10" w14:textId="70A3323A" w:rsidR="00616DC3" w:rsidRDefault="00B4428B" w:rsidP="002F3BF5">
      <w:pPr>
        <w:pStyle w:val="Paragraphedeliste"/>
        <w:numPr>
          <w:ilvl w:val="0"/>
          <w:numId w:val="21"/>
        </w:numPr>
        <w:ind w:left="357" w:hanging="357"/>
      </w:pPr>
      <w:r>
        <w:t>l</w:t>
      </w:r>
      <w:r w:rsidR="00010665">
        <w:t>e</w:t>
      </w:r>
      <w:r w:rsidR="00616DC3" w:rsidRPr="00616DC3">
        <w:t>s critiques fondées sur les preuves</w:t>
      </w:r>
      <w:r>
        <w:t xml:space="preserve"> </w:t>
      </w:r>
      <w:r w:rsidR="005368AB">
        <w:t>(ex : lettres à l’éditeur)</w:t>
      </w:r>
      <w:r w:rsidR="00616DC3" w:rsidRPr="00616DC3">
        <w:t xml:space="preserve"> sont bloquées ou marginalisées, </w:t>
      </w:r>
    </w:p>
    <w:p w14:paraId="2F28165F" w14:textId="71BC3AC1" w:rsidR="00B4428B" w:rsidRDefault="00B4428B" w:rsidP="002F3BF5">
      <w:pPr>
        <w:pStyle w:val="Paragraphedeliste"/>
        <w:numPr>
          <w:ilvl w:val="0"/>
          <w:numId w:val="21"/>
        </w:numPr>
        <w:ind w:left="357" w:hanging="357"/>
      </w:pPr>
      <w:r w:rsidRPr="00E509B1">
        <w:t xml:space="preserve">un </w:t>
      </w:r>
      <w:r w:rsidRPr="005B59A9">
        <w:rPr>
          <w:b/>
          <w:bCs/>
        </w:rPr>
        <w:t>consensus apparent</w:t>
      </w:r>
      <w:r w:rsidRPr="00E509B1">
        <w:t xml:space="preserve"> se renforce avec le temps par accumulation de publications alignées, </w:t>
      </w:r>
      <w:r w:rsidRPr="005B59A9">
        <w:rPr>
          <w:b/>
          <w:bCs/>
        </w:rPr>
        <w:t>indépendamment d’une amélioration réelle</w:t>
      </w:r>
      <w:r w:rsidRPr="00E509B1">
        <w:t xml:space="preserve"> du niveau de preuve</w:t>
      </w:r>
      <w:r w:rsidR="00BF5DF5">
        <w:t> ;</w:t>
      </w:r>
    </w:p>
    <w:p w14:paraId="55B10539" w14:textId="4E7136CD" w:rsidR="00616DC3" w:rsidRDefault="00B4428B" w:rsidP="002F3BF5">
      <w:pPr>
        <w:pStyle w:val="Paragraphedeliste"/>
        <w:numPr>
          <w:ilvl w:val="0"/>
          <w:numId w:val="21"/>
        </w:numPr>
        <w:ind w:left="357" w:hanging="357"/>
      </w:pPr>
      <w:r>
        <w:t>l</w:t>
      </w:r>
      <w:r w:rsidR="00616DC3" w:rsidRPr="00616DC3">
        <w:t xml:space="preserve">es erreurs ou affirmations non étayées se répètent : la fiabilité globale de la littérature </w:t>
      </w:r>
      <w:r>
        <w:t>diminue</w:t>
      </w:r>
      <w:r w:rsidR="00616DC3" w:rsidRPr="00616DC3">
        <w:t xml:space="preserve">, ce qui </w:t>
      </w:r>
      <w:r w:rsidR="00616DC3">
        <w:t>décrédibilise</w:t>
      </w:r>
      <w:r w:rsidR="00616DC3" w:rsidRPr="00616DC3">
        <w:t xml:space="preserve"> l’autorité scientifique des </w:t>
      </w:r>
      <w:r>
        <w:t>journaux</w:t>
      </w:r>
      <w:r w:rsidR="00616DC3" w:rsidRPr="00616DC3">
        <w:t xml:space="preserve"> et des recommandations</w:t>
      </w:r>
      <w:r>
        <w:t>/directives</w:t>
      </w:r>
      <w:r w:rsidR="00616DC3" w:rsidRPr="00616DC3">
        <w:t xml:space="preserve"> cliniques.</w:t>
      </w:r>
    </w:p>
    <w:p w14:paraId="2FB6C64E" w14:textId="77777777" w:rsidR="00183725" w:rsidRDefault="00183725" w:rsidP="00942A49"/>
    <w:p w14:paraId="12C87854" w14:textId="382F07AB" w:rsidR="00E916BD" w:rsidRDefault="0031118B" w:rsidP="00E916BD">
      <w:pPr>
        <w:pStyle w:val="Titre2"/>
      </w:pPr>
      <w:bookmarkStart w:id="28" w:name="_Toc217928627"/>
      <w:r>
        <w:t>5</w:t>
      </w:r>
      <w:r w:rsidR="00183725">
        <w:t>. Impact médical</w:t>
      </w:r>
      <w:bookmarkEnd w:id="28"/>
    </w:p>
    <w:p w14:paraId="26D11865" w14:textId="1CE4DA08" w:rsidR="004117B8" w:rsidRDefault="00BF5DF5" w:rsidP="00942A49">
      <w:r>
        <w:t>Cohn rappelle que le</w:t>
      </w:r>
      <w:r w:rsidR="009A7196" w:rsidRPr="009A7196">
        <w:t xml:space="preserve"> consentement éclairé nécessite que les patients reçoivent </w:t>
      </w:r>
      <w:r w:rsidR="009A7196" w:rsidRPr="004117B8">
        <w:rPr>
          <w:b/>
          <w:bCs/>
        </w:rPr>
        <w:t>une information honnête</w:t>
      </w:r>
      <w:r w:rsidR="009A7196" w:rsidRPr="009A7196">
        <w:t xml:space="preserve"> sur les </w:t>
      </w:r>
      <w:r w:rsidR="009A7196" w:rsidRPr="004117B8">
        <w:rPr>
          <w:b/>
          <w:bCs/>
        </w:rPr>
        <w:t>bénéfices, les risques, les alternatives</w:t>
      </w:r>
      <w:r w:rsidR="009A7196" w:rsidRPr="009A7196">
        <w:t>, y compris l’</w:t>
      </w:r>
      <w:r w:rsidR="009A7196" w:rsidRPr="004117B8">
        <w:rPr>
          <w:b/>
          <w:bCs/>
        </w:rPr>
        <w:t xml:space="preserve">absence de traitement </w:t>
      </w:r>
      <w:r w:rsidR="009A7196" w:rsidRPr="009A7196">
        <w:t xml:space="preserve">(Levine et al., </w:t>
      </w:r>
      <w:hyperlink r:id="rId164" w:tooltip="Reconsidering informed consent for trans-identified children, adolescents, and young adults" w:history="1">
        <w:r w:rsidR="00DD28CC" w:rsidRPr="00683AEE">
          <w:rPr>
            <w:rStyle w:val="Lienhypertexte"/>
          </w:rPr>
          <w:t xml:space="preserve"> 2022</w:t>
        </w:r>
      </w:hyperlink>
      <w:r w:rsidR="009A7196" w:rsidRPr="009A7196">
        <w:t xml:space="preserve">). </w:t>
      </w:r>
    </w:p>
    <w:p w14:paraId="59012A0F" w14:textId="011B8C78" w:rsidR="00E11677" w:rsidRDefault="009A7196" w:rsidP="00942A49">
      <w:r w:rsidRPr="009A7196">
        <w:t xml:space="preserve">Or, la littérature dominante sur les interventions médicales liées au genre </w:t>
      </w:r>
      <w:r w:rsidRPr="004117B8">
        <w:rPr>
          <w:b/>
          <w:bCs/>
        </w:rPr>
        <w:t>minimise des risques</w:t>
      </w:r>
      <w:r w:rsidRPr="009A7196">
        <w:t xml:space="preserve"> dont </w:t>
      </w:r>
      <w:r w:rsidRPr="004117B8">
        <w:rPr>
          <w:b/>
          <w:bCs/>
        </w:rPr>
        <w:t>l’ampleur est inconnue</w:t>
      </w:r>
      <w:r w:rsidRPr="009A7196">
        <w:t xml:space="preserve">, </w:t>
      </w:r>
      <w:r w:rsidRPr="004117B8">
        <w:rPr>
          <w:b/>
          <w:bCs/>
        </w:rPr>
        <w:t>exagère des bénéfices</w:t>
      </w:r>
      <w:r w:rsidRPr="009A7196">
        <w:t xml:space="preserve"> non démontrés, et omettent de mentionner/</w:t>
      </w:r>
      <w:r w:rsidRPr="004117B8">
        <w:rPr>
          <w:b/>
          <w:bCs/>
        </w:rPr>
        <w:t>discréditent des alternatives moins risquées</w:t>
      </w:r>
      <w:r w:rsidRPr="009A7196">
        <w:t xml:space="preserve"> et souvent viables (ex : psychothérapie assimilée à une « thérapie de conversion ». </w:t>
      </w:r>
      <w:r w:rsidR="004C289B">
        <w:t xml:space="preserve">(voir la </w:t>
      </w:r>
      <w:hyperlink w:anchor="_Contenu_général_des" w:history="1">
        <w:r w:rsidR="004C289B" w:rsidRPr="004C289B">
          <w:rPr>
            <w:rStyle w:val="Lienhypertexte"/>
          </w:rPr>
          <w:t>section 1.2</w:t>
        </w:r>
      </w:hyperlink>
      <w:r w:rsidR="004C289B">
        <w:t>)</w:t>
      </w:r>
    </w:p>
    <w:p w14:paraId="1AE899BE" w14:textId="69AAD02C" w:rsidR="00E11677" w:rsidRDefault="009A7196" w:rsidP="00942A49">
      <w:r w:rsidRPr="009A7196">
        <w:lastRenderedPageBreak/>
        <w:t xml:space="preserve">→ La </w:t>
      </w:r>
      <w:r w:rsidRPr="004117B8">
        <w:rPr>
          <w:b/>
          <w:bCs/>
        </w:rPr>
        <w:t>décision médicale</w:t>
      </w:r>
      <w:r w:rsidRPr="009A7196">
        <w:t xml:space="preserve"> n’est plus </w:t>
      </w:r>
      <w:r w:rsidRPr="004117B8">
        <w:rPr>
          <w:b/>
          <w:bCs/>
        </w:rPr>
        <w:t>prise en pleine connaissance de cause</w:t>
      </w:r>
      <w:r w:rsidRPr="009A7196">
        <w:t xml:space="preserve">, ce qui pose un problème éthique majeur, surtout lorsqu’il s’agit d’interventions lourdes ou irréversibles. </w:t>
      </w:r>
    </w:p>
    <w:p w14:paraId="15C4E217" w14:textId="77777777" w:rsidR="00E11677" w:rsidRDefault="00E11677" w:rsidP="00942A49"/>
    <w:p w14:paraId="3CC0EE93" w14:textId="5C64DD60" w:rsidR="00183725" w:rsidRDefault="009A7196" w:rsidP="00942A49">
      <w:r w:rsidRPr="009A7196">
        <w:t xml:space="preserve">De plus, quand des articles faisant autorité affirment à tort que </w:t>
      </w:r>
      <w:r w:rsidRPr="004117B8">
        <w:rPr>
          <w:b/>
          <w:bCs/>
        </w:rPr>
        <w:t>le regret est rare</w:t>
      </w:r>
      <w:r w:rsidRPr="009A7196">
        <w:t xml:space="preserve"> ou inférieur à 1 %, concernant des interventions impactant toute une vie, cela </w:t>
      </w:r>
      <w:r w:rsidRPr="0012596C">
        <w:rPr>
          <w:b/>
          <w:bCs/>
        </w:rPr>
        <w:t>influence directement</w:t>
      </w:r>
      <w:r w:rsidRPr="009A7196">
        <w:t xml:space="preserve"> les médecins, les patients et leurs familles</w:t>
      </w:r>
      <w:r w:rsidR="00A761B5">
        <w:t xml:space="preserve">, et </w:t>
      </w:r>
      <w:r w:rsidRPr="0012596C">
        <w:rPr>
          <w:b/>
          <w:bCs/>
        </w:rPr>
        <w:t>donc la décision clinique</w:t>
      </w:r>
      <w:r w:rsidRPr="009A7196">
        <w:t>.</w:t>
      </w:r>
    </w:p>
    <w:p w14:paraId="665F1B65" w14:textId="77777777" w:rsidR="00E11677" w:rsidRDefault="00E11677" w:rsidP="00942A49"/>
    <w:p w14:paraId="04855CF6" w14:textId="3137F3A2" w:rsidR="004B2D6D" w:rsidRDefault="00183725" w:rsidP="00942A49">
      <w:r w:rsidRPr="00183725">
        <w:t xml:space="preserve">Cette </w:t>
      </w:r>
      <w:r w:rsidR="005335B5">
        <w:t xml:space="preserve">situation </w:t>
      </w:r>
      <w:r w:rsidRPr="00183725">
        <w:t xml:space="preserve">persiste notamment parce que les défenseurs des soins dits </w:t>
      </w:r>
      <w:proofErr w:type="spellStart"/>
      <w:r w:rsidRPr="00183725">
        <w:t>transaffirmatifs</w:t>
      </w:r>
      <w:proofErr w:type="spellEnd"/>
      <w:r w:rsidRPr="00183725">
        <w:t xml:space="preserve"> s’appuient davantage sur l’apparent consensus (entretenu par le référencement circulaire des lignes directrices) et sur l’opinion d’experts plutôt que sur l’évaluation rigoureuse des preuves (Baxendale, </w:t>
      </w:r>
      <w:hyperlink r:id="rId165" w:tooltip="How to be a better doctor: Recognizing how cognitive biases shape– and distort –clinical evidence" w:history="1">
        <w:r w:rsidRPr="005335B5">
          <w:rPr>
            <w:rStyle w:val="Lienhypertexte"/>
          </w:rPr>
          <w:t>2025</w:t>
        </w:r>
      </w:hyperlink>
      <w:r w:rsidRPr="00183725">
        <w:t>). Or, l’opinion d’experts est le niveau de preuve le plus faible, elle est sensible aux biais cognitifs et aux dynamiques de groupe, et a historiquement conduit à des pratiques médicales dommageables</w:t>
      </w:r>
      <w:r w:rsidR="004B2D6D">
        <w:t>.</w:t>
      </w:r>
    </w:p>
    <w:p w14:paraId="7B55717A" w14:textId="77777777" w:rsidR="004B2D6D" w:rsidRDefault="004B2D6D" w:rsidP="00942A49"/>
    <w:p w14:paraId="5ACE6662" w14:textId="5C6931BE" w:rsidR="00183725" w:rsidRDefault="00183725" w:rsidP="00942A49">
      <w:r w:rsidRPr="00183725">
        <w:t xml:space="preserve"> Comme l’a rappelé la Dre Cass aux jeunes patients dans son rapport final : « </w:t>
      </w:r>
      <w:r w:rsidRPr="0012596C">
        <w:rPr>
          <w:i/>
          <w:iCs/>
        </w:rPr>
        <w:t>Avant tout, vous devez bénéficier des mêmes standards de soins que tout le monde au sein du NHS, et cela implique de fonder les traitements sur de bonnes preuves</w:t>
      </w:r>
      <w:r w:rsidRPr="00183725">
        <w:t xml:space="preserve"> » (</w:t>
      </w:r>
      <w:hyperlink r:id="rId166" w:tooltip="Independent review of gender identity services for children and young people: Final report" w:history="1">
        <w:r w:rsidR="00720DB4" w:rsidRPr="00A351BA">
          <w:rPr>
            <w:rStyle w:val="Lienhypertexte"/>
          </w:rPr>
          <w:t>rapport final du Cass Review</w:t>
        </w:r>
      </w:hyperlink>
      <w:r w:rsidR="00720DB4">
        <w:t xml:space="preserve">, </w:t>
      </w:r>
      <w:r w:rsidRPr="00183725">
        <w:t>2024, p. 14).</w:t>
      </w:r>
    </w:p>
    <w:p w14:paraId="262259F9" w14:textId="02917BA6" w:rsidR="00481FA4" w:rsidRDefault="00481FA4" w:rsidP="00942A49"/>
    <w:p w14:paraId="505585FD" w14:textId="77777777" w:rsidR="008B0846" w:rsidRDefault="008B0846" w:rsidP="00942A49"/>
    <w:p w14:paraId="55795F9E" w14:textId="77777777" w:rsidR="00DA376C" w:rsidRDefault="00DA376C" w:rsidP="00942A49"/>
    <w:p w14:paraId="7DD9008D" w14:textId="77777777" w:rsidR="00DA376C" w:rsidRPr="00483294" w:rsidRDefault="00DA376C" w:rsidP="00942A49"/>
    <w:sectPr w:rsidR="00DA376C" w:rsidRPr="00483294">
      <w:footerReference w:type="default" r:id="rId1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2ED7" w14:textId="77777777" w:rsidR="00860EDD" w:rsidRDefault="00860EDD" w:rsidP="00680F3B">
      <w:pPr>
        <w:spacing w:line="240" w:lineRule="auto"/>
      </w:pPr>
      <w:r>
        <w:separator/>
      </w:r>
    </w:p>
  </w:endnote>
  <w:endnote w:type="continuationSeparator" w:id="0">
    <w:p w14:paraId="63A85949" w14:textId="77777777" w:rsidR="00860EDD" w:rsidRDefault="00860EDD" w:rsidP="00680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ECE3" w14:textId="1C563257" w:rsidR="005B12FB" w:rsidRPr="00DF39B5" w:rsidRDefault="00DF39B5" w:rsidP="00DF39B5">
    <w:pPr>
      <w:pStyle w:val="Pieddepage"/>
      <w:rPr>
        <w:sz w:val="16"/>
        <w:szCs w:val="16"/>
        <w:lang w:val="en-US"/>
      </w:rPr>
    </w:pPr>
    <w:r w:rsidRPr="00DF39B5">
      <w:rPr>
        <w:sz w:val="16"/>
        <w:szCs w:val="16"/>
        <w:lang w:val="en-US"/>
      </w:rPr>
      <w:t xml:space="preserve">Notes </w:t>
    </w:r>
    <w:proofErr w:type="spellStart"/>
    <w:r w:rsidRPr="00DF39B5">
      <w:rPr>
        <w:sz w:val="16"/>
        <w:szCs w:val="16"/>
        <w:lang w:val="en-US"/>
      </w:rPr>
      <w:t>concernant</w:t>
    </w:r>
    <w:proofErr w:type="spellEnd"/>
    <w:r w:rsidRPr="00DF39B5">
      <w:rPr>
        <w:sz w:val="16"/>
        <w:szCs w:val="16"/>
        <w:lang w:val="en-US"/>
      </w:rPr>
      <w:t xml:space="preserve"> </w:t>
    </w:r>
    <w:proofErr w:type="spellStart"/>
    <w:r w:rsidRPr="00DF39B5">
      <w:rPr>
        <w:sz w:val="16"/>
        <w:szCs w:val="16"/>
        <w:lang w:val="en-US"/>
      </w:rPr>
      <w:t>l’article</w:t>
    </w:r>
    <w:proofErr w:type="spellEnd"/>
    <w:r w:rsidRPr="00DF39B5">
      <w:rPr>
        <w:sz w:val="16"/>
        <w:szCs w:val="16"/>
        <w:lang w:val="en-US"/>
      </w:rPr>
      <w:t xml:space="preserve"> Censorship of Essential Debate in Gender</w:t>
    </w:r>
    <w:r>
      <w:rPr>
        <w:sz w:val="16"/>
        <w:szCs w:val="16"/>
        <w:lang w:val="en-US"/>
      </w:rPr>
      <w:t xml:space="preserve"> </w:t>
    </w:r>
    <w:r w:rsidRPr="00DF39B5">
      <w:rPr>
        <w:sz w:val="16"/>
        <w:szCs w:val="16"/>
        <w:lang w:val="en-US"/>
      </w:rPr>
      <w:t xml:space="preserve">Medicine </w:t>
    </w:r>
    <w:proofErr w:type="spellStart"/>
    <w:r w:rsidRPr="00DF39B5">
      <w:rPr>
        <w:sz w:val="16"/>
        <w:szCs w:val="16"/>
        <w:lang w:val="en-US"/>
      </w:rPr>
      <w:t>Research,Cohn</w:t>
    </w:r>
    <w:proofErr w:type="spellEnd"/>
    <w:r w:rsidRPr="00DF39B5">
      <w:rPr>
        <w:sz w:val="16"/>
        <w:szCs w:val="16"/>
        <w:lang w:val="en-US"/>
      </w:rPr>
      <w:t>, 2025</w:t>
    </w:r>
    <w:r w:rsidR="00283F8F">
      <w:rPr>
        <w:sz w:val="16"/>
        <w:szCs w:val="16"/>
        <w:lang w:val="en-US"/>
      </w:rPr>
      <w:t xml:space="preserve">. </w:t>
    </w:r>
    <w:hyperlink w:anchor="sommaire" w:history="1">
      <w:r w:rsidR="00283F8F" w:rsidRPr="00834C9D">
        <w:rPr>
          <w:rStyle w:val="Lienhypertexte"/>
          <w:sz w:val="16"/>
          <w:szCs w:val="16"/>
          <w:lang w:val="en-US"/>
        </w:rPr>
        <w:t xml:space="preserve">Retour </w:t>
      </w:r>
      <w:proofErr w:type="spellStart"/>
      <w:r w:rsidR="00283F8F" w:rsidRPr="00834C9D">
        <w:rPr>
          <w:rStyle w:val="Lienhypertexte"/>
          <w:sz w:val="16"/>
          <w:szCs w:val="16"/>
          <w:lang w:val="en-US"/>
        </w:rPr>
        <w:t>sommaire</w:t>
      </w:r>
      <w:proofErr w:type="spellEnd"/>
    </w:hyperlink>
    <w:r w:rsidR="005B12FB" w:rsidRPr="00DF39B5">
      <w:rPr>
        <w:lang w:val="en-US"/>
      </w:rPr>
      <w:tab/>
    </w:r>
    <w:r w:rsidR="005B12FB" w:rsidRPr="00DF39B5">
      <w:rPr>
        <w:lang w:val="en-US"/>
      </w:rPr>
      <w:tab/>
    </w:r>
    <w:r w:rsidR="005B12FB">
      <w:fldChar w:fldCharType="begin"/>
    </w:r>
    <w:r w:rsidR="005B12FB" w:rsidRPr="00DF39B5">
      <w:rPr>
        <w:lang w:val="en-US"/>
      </w:rPr>
      <w:instrText xml:space="preserve"> PAGE   \* MERGEFORMAT </w:instrText>
    </w:r>
    <w:r w:rsidR="005B12FB">
      <w:fldChar w:fldCharType="separate"/>
    </w:r>
    <w:r w:rsidR="005B12FB" w:rsidRPr="00DF39B5">
      <w:rPr>
        <w:noProof/>
        <w:lang w:val="en-US"/>
      </w:rPr>
      <w:t>6</w:t>
    </w:r>
    <w:r w:rsidR="005B12F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5001" w14:textId="77777777" w:rsidR="00860EDD" w:rsidRDefault="00860EDD" w:rsidP="00680F3B">
      <w:pPr>
        <w:spacing w:line="240" w:lineRule="auto"/>
      </w:pPr>
      <w:r>
        <w:separator/>
      </w:r>
    </w:p>
  </w:footnote>
  <w:footnote w:type="continuationSeparator" w:id="0">
    <w:p w14:paraId="5F125D1E" w14:textId="77777777" w:rsidR="00860EDD" w:rsidRDefault="00860EDD" w:rsidP="00680F3B">
      <w:pPr>
        <w:spacing w:line="240" w:lineRule="auto"/>
      </w:pPr>
      <w:r>
        <w:continuationSeparator/>
      </w:r>
    </w:p>
  </w:footnote>
  <w:footnote w:id="1">
    <w:p w14:paraId="21032B8C" w14:textId="530DAD27" w:rsidR="00F4109F" w:rsidRPr="00F4109F" w:rsidRDefault="00F4109F">
      <w:pPr>
        <w:pStyle w:val="Notedebasdepage"/>
        <w:rPr>
          <w:sz w:val="18"/>
          <w:szCs w:val="18"/>
        </w:rPr>
      </w:pPr>
      <w:r w:rsidRPr="00F4109F">
        <w:rPr>
          <w:rStyle w:val="Appelnotedebasdep"/>
          <w:sz w:val="18"/>
          <w:szCs w:val="18"/>
        </w:rPr>
        <w:footnoteRef/>
      </w:r>
      <w:r w:rsidRPr="00F4109F">
        <w:rPr>
          <w:sz w:val="18"/>
          <w:szCs w:val="18"/>
        </w:rPr>
        <w:t xml:space="preserve"> La dysphorie de genre avant la puberté a été observée, dans les études, comme se résolvant dans la majorité des cas en l’absence de transition sociale et médicale (Singh et al., </w:t>
      </w:r>
      <w:hyperlink r:id="rId1" w:tooltip="A follow-up study of boys with gender identity disorder" w:history="1">
        <w:r w:rsidRPr="00F4109F">
          <w:rPr>
            <w:rStyle w:val="Lienhypertexte"/>
            <w:sz w:val="18"/>
            <w:szCs w:val="18"/>
          </w:rPr>
          <w:t>2021</w:t>
        </w:r>
      </w:hyperlink>
      <w:r w:rsidRPr="00F4109F">
        <w:rPr>
          <w:sz w:val="18"/>
          <w:szCs w:val="18"/>
        </w:rPr>
        <w:t>).</w:t>
      </w:r>
    </w:p>
  </w:footnote>
  <w:footnote w:id="2">
    <w:p w14:paraId="4FB5E19B" w14:textId="0C79980E" w:rsidR="00680F3B" w:rsidRDefault="00680F3B">
      <w:pPr>
        <w:pStyle w:val="Notedebasdepage"/>
      </w:pPr>
      <w:r>
        <w:rPr>
          <w:rStyle w:val="Appelnotedebasdep"/>
        </w:rPr>
        <w:footnoteRef/>
      </w:r>
      <w:r>
        <w:t xml:space="preserve"> </w:t>
      </w:r>
      <w:r w:rsidR="00336F6F" w:rsidRPr="00336F6F">
        <w:rPr>
          <w:sz w:val="18"/>
          <w:szCs w:val="18"/>
        </w:rPr>
        <w:t>Par exemple, des études inférant une relation causale à partir d’un</w:t>
      </w:r>
      <w:r w:rsidR="00336F6F">
        <w:rPr>
          <w:sz w:val="18"/>
          <w:szCs w:val="18"/>
        </w:rPr>
        <w:t xml:space="preserve">e conception </w:t>
      </w:r>
      <w:r w:rsidR="00336F6F" w:rsidRPr="00336F6F">
        <w:rPr>
          <w:sz w:val="18"/>
          <w:szCs w:val="18"/>
        </w:rPr>
        <w:t>transversal</w:t>
      </w:r>
      <w:r w:rsidR="00336F6F">
        <w:rPr>
          <w:sz w:val="18"/>
          <w:szCs w:val="18"/>
        </w:rPr>
        <w:t>e</w:t>
      </w:r>
      <w:r w:rsidR="00336F6F" w:rsidRPr="00336F6F">
        <w:rPr>
          <w:sz w:val="18"/>
          <w:szCs w:val="18"/>
        </w:rPr>
        <w:t>, des études ne considérant que le stress minoritaire comme cause possible de mauvais résultats thérapeutiques (sans envisager, par exemple, que le traitement médical lui-même puisse avoir causé le préjudice), des études négligeant des facteurs de confusion, ainsi que des études présentant une durée ou un taux de suivi insuffisants, des outils de mesure inadaptés, des critères d’inclusion non pertinents, ou encore d’autres défauts de conception méthodologique.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1C6"/>
    <w:multiLevelType w:val="hybridMultilevel"/>
    <w:tmpl w:val="26946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460C5"/>
    <w:multiLevelType w:val="hybridMultilevel"/>
    <w:tmpl w:val="42AAEF0A"/>
    <w:lvl w:ilvl="0" w:tplc="EBEA01D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2E6E92"/>
    <w:multiLevelType w:val="multilevel"/>
    <w:tmpl w:val="DEB0AD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9D252A"/>
    <w:multiLevelType w:val="hybridMultilevel"/>
    <w:tmpl w:val="064A8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97AE2"/>
    <w:multiLevelType w:val="multilevel"/>
    <w:tmpl w:val="0AA2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F6AD7"/>
    <w:multiLevelType w:val="multilevel"/>
    <w:tmpl w:val="31F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B4A55"/>
    <w:multiLevelType w:val="hybridMultilevel"/>
    <w:tmpl w:val="AD3C5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81272B"/>
    <w:multiLevelType w:val="multilevel"/>
    <w:tmpl w:val="B15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62244"/>
    <w:multiLevelType w:val="hybridMultilevel"/>
    <w:tmpl w:val="7D4E8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12232A"/>
    <w:multiLevelType w:val="hybridMultilevel"/>
    <w:tmpl w:val="55D4F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ED5E30"/>
    <w:multiLevelType w:val="hybridMultilevel"/>
    <w:tmpl w:val="4394F8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8E05B9"/>
    <w:multiLevelType w:val="hybridMultilevel"/>
    <w:tmpl w:val="5E7629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C500D7"/>
    <w:multiLevelType w:val="multilevel"/>
    <w:tmpl w:val="E626F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A26DA"/>
    <w:multiLevelType w:val="hybridMultilevel"/>
    <w:tmpl w:val="4FB41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F27523"/>
    <w:multiLevelType w:val="hybridMultilevel"/>
    <w:tmpl w:val="1BEA4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342391"/>
    <w:multiLevelType w:val="hybridMultilevel"/>
    <w:tmpl w:val="107EF7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5002F5"/>
    <w:multiLevelType w:val="hybridMultilevel"/>
    <w:tmpl w:val="EE4C9F10"/>
    <w:lvl w:ilvl="0" w:tplc="96DE40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DA6BB0"/>
    <w:multiLevelType w:val="multilevel"/>
    <w:tmpl w:val="FCF8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E7369"/>
    <w:multiLevelType w:val="hybridMultilevel"/>
    <w:tmpl w:val="91C84E8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2C0C0A0D"/>
    <w:multiLevelType w:val="hybridMultilevel"/>
    <w:tmpl w:val="82988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E552B8"/>
    <w:multiLevelType w:val="hybridMultilevel"/>
    <w:tmpl w:val="2E0A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AD3BB9"/>
    <w:multiLevelType w:val="hybridMultilevel"/>
    <w:tmpl w:val="AEC07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3F70B9"/>
    <w:multiLevelType w:val="hybridMultilevel"/>
    <w:tmpl w:val="5E08B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D62734"/>
    <w:multiLevelType w:val="hybridMultilevel"/>
    <w:tmpl w:val="447A5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614F63"/>
    <w:multiLevelType w:val="hybridMultilevel"/>
    <w:tmpl w:val="98B4AA0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39F23AF7"/>
    <w:multiLevelType w:val="hybridMultilevel"/>
    <w:tmpl w:val="BC18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0C3A8E"/>
    <w:multiLevelType w:val="hybridMultilevel"/>
    <w:tmpl w:val="50D4462C"/>
    <w:lvl w:ilvl="0" w:tplc="040C0003">
      <w:start w:val="1"/>
      <w:numFmt w:val="bullet"/>
      <w:lvlText w:val="o"/>
      <w:lvlJc w:val="left"/>
      <w:pPr>
        <w:ind w:left="717" w:hanging="360"/>
      </w:pPr>
      <w:rPr>
        <w:rFonts w:ascii="Courier New" w:hAnsi="Courier New" w:cs="Courier New"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7" w15:restartNumberingAfterBreak="0">
    <w:nsid w:val="40CD3087"/>
    <w:multiLevelType w:val="hybridMultilevel"/>
    <w:tmpl w:val="B1CC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A3222B"/>
    <w:multiLevelType w:val="hybridMultilevel"/>
    <w:tmpl w:val="1C6CD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1713F5"/>
    <w:multiLevelType w:val="hybridMultilevel"/>
    <w:tmpl w:val="C914AE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AE573E6"/>
    <w:multiLevelType w:val="hybridMultilevel"/>
    <w:tmpl w:val="FFB8C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0572C5"/>
    <w:multiLevelType w:val="hybridMultilevel"/>
    <w:tmpl w:val="5B6A5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FF3611"/>
    <w:multiLevelType w:val="hybridMultilevel"/>
    <w:tmpl w:val="D268A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E542CF"/>
    <w:multiLevelType w:val="multilevel"/>
    <w:tmpl w:val="71B4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213EA"/>
    <w:multiLevelType w:val="hybridMultilevel"/>
    <w:tmpl w:val="6A385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436488"/>
    <w:multiLevelType w:val="hybridMultilevel"/>
    <w:tmpl w:val="EE443D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856C67"/>
    <w:multiLevelType w:val="multilevel"/>
    <w:tmpl w:val="CE26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CF1473"/>
    <w:multiLevelType w:val="hybridMultilevel"/>
    <w:tmpl w:val="A4D05B7E"/>
    <w:lvl w:ilvl="0" w:tplc="040C0003">
      <w:start w:val="1"/>
      <w:numFmt w:val="bullet"/>
      <w:lvlText w:val="o"/>
      <w:lvlJc w:val="left"/>
      <w:pPr>
        <w:ind w:left="717" w:hanging="360"/>
      </w:pPr>
      <w:rPr>
        <w:rFonts w:ascii="Courier New" w:hAnsi="Courier New" w:cs="Courier New" w:hint="default"/>
      </w:rPr>
    </w:lvl>
    <w:lvl w:ilvl="1" w:tplc="8D764B10">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8" w15:restartNumberingAfterBreak="0">
    <w:nsid w:val="713007BE"/>
    <w:multiLevelType w:val="hybridMultilevel"/>
    <w:tmpl w:val="75188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F3329D"/>
    <w:multiLevelType w:val="hybridMultilevel"/>
    <w:tmpl w:val="D8BE7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9957FE"/>
    <w:multiLevelType w:val="hybridMultilevel"/>
    <w:tmpl w:val="D3945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D42DF4"/>
    <w:multiLevelType w:val="multilevel"/>
    <w:tmpl w:val="664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B5219"/>
    <w:multiLevelType w:val="hybridMultilevel"/>
    <w:tmpl w:val="B8A2B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B16245"/>
    <w:multiLevelType w:val="multilevel"/>
    <w:tmpl w:val="54F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32A26"/>
    <w:multiLevelType w:val="hybridMultilevel"/>
    <w:tmpl w:val="A13E42BC"/>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79377DD8"/>
    <w:multiLevelType w:val="hybridMultilevel"/>
    <w:tmpl w:val="54967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683C46"/>
    <w:multiLevelType w:val="hybridMultilevel"/>
    <w:tmpl w:val="01B60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BE176A"/>
    <w:multiLevelType w:val="hybridMultilevel"/>
    <w:tmpl w:val="E2185AE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919055490">
    <w:abstractNumId w:val="24"/>
  </w:num>
  <w:num w:numId="2" w16cid:durableId="1074279274">
    <w:abstractNumId w:val="25"/>
  </w:num>
  <w:num w:numId="3" w16cid:durableId="73670615">
    <w:abstractNumId w:val="15"/>
  </w:num>
  <w:num w:numId="4" w16cid:durableId="844398137">
    <w:abstractNumId w:val="37"/>
  </w:num>
  <w:num w:numId="5" w16cid:durableId="486558802">
    <w:abstractNumId w:val="18"/>
  </w:num>
  <w:num w:numId="6" w16cid:durableId="1109662708">
    <w:abstractNumId w:val="33"/>
  </w:num>
  <w:num w:numId="7" w16cid:durableId="889848805">
    <w:abstractNumId w:val="17"/>
  </w:num>
  <w:num w:numId="8" w16cid:durableId="799570861">
    <w:abstractNumId w:val="1"/>
  </w:num>
  <w:num w:numId="9" w16cid:durableId="561059634">
    <w:abstractNumId w:val="2"/>
  </w:num>
  <w:num w:numId="10" w16cid:durableId="1924489542">
    <w:abstractNumId w:val="47"/>
  </w:num>
  <w:num w:numId="11" w16cid:durableId="1673217867">
    <w:abstractNumId w:val="27"/>
  </w:num>
  <w:num w:numId="12" w16cid:durableId="831481987">
    <w:abstractNumId w:val="28"/>
  </w:num>
  <w:num w:numId="13" w16cid:durableId="1100221029">
    <w:abstractNumId w:val="45"/>
  </w:num>
  <w:num w:numId="14" w16cid:durableId="659580627">
    <w:abstractNumId w:val="0"/>
  </w:num>
  <w:num w:numId="15" w16cid:durableId="487598843">
    <w:abstractNumId w:val="6"/>
  </w:num>
  <w:num w:numId="16" w16cid:durableId="729810608">
    <w:abstractNumId w:val="44"/>
  </w:num>
  <w:num w:numId="17" w16cid:durableId="346564265">
    <w:abstractNumId w:val="35"/>
  </w:num>
  <w:num w:numId="18" w16cid:durableId="1148591917">
    <w:abstractNumId w:val="11"/>
  </w:num>
  <w:num w:numId="19" w16cid:durableId="1740201776">
    <w:abstractNumId w:val="43"/>
  </w:num>
  <w:num w:numId="20" w16cid:durableId="892692951">
    <w:abstractNumId w:val="7"/>
  </w:num>
  <w:num w:numId="21" w16cid:durableId="229005604">
    <w:abstractNumId w:val="42"/>
  </w:num>
  <w:num w:numId="22" w16cid:durableId="1766026339">
    <w:abstractNumId w:val="39"/>
  </w:num>
  <w:num w:numId="23" w16cid:durableId="1664316824">
    <w:abstractNumId w:val="12"/>
  </w:num>
  <w:num w:numId="24" w16cid:durableId="147599806">
    <w:abstractNumId w:val="46"/>
  </w:num>
  <w:num w:numId="25" w16cid:durableId="1229460181">
    <w:abstractNumId w:val="21"/>
  </w:num>
  <w:num w:numId="26" w16cid:durableId="695346459">
    <w:abstractNumId w:val="23"/>
  </w:num>
  <w:num w:numId="27" w16cid:durableId="980504864">
    <w:abstractNumId w:val="8"/>
  </w:num>
  <w:num w:numId="28" w16cid:durableId="391738681">
    <w:abstractNumId w:val="36"/>
  </w:num>
  <w:num w:numId="29" w16cid:durableId="496578422">
    <w:abstractNumId w:val="4"/>
  </w:num>
  <w:num w:numId="30" w16cid:durableId="79327559">
    <w:abstractNumId w:val="5"/>
  </w:num>
  <w:num w:numId="31" w16cid:durableId="18092964">
    <w:abstractNumId w:val="41"/>
  </w:num>
  <w:num w:numId="32" w16cid:durableId="1986666626">
    <w:abstractNumId w:val="32"/>
  </w:num>
  <w:num w:numId="33" w16cid:durableId="1056900875">
    <w:abstractNumId w:val="34"/>
  </w:num>
  <w:num w:numId="34" w16cid:durableId="2120180599">
    <w:abstractNumId w:val="13"/>
  </w:num>
  <w:num w:numId="35" w16cid:durableId="449208437">
    <w:abstractNumId w:val="19"/>
  </w:num>
  <w:num w:numId="36" w16cid:durableId="752818575">
    <w:abstractNumId w:val="16"/>
  </w:num>
  <w:num w:numId="37" w16cid:durableId="1605533479">
    <w:abstractNumId w:val="30"/>
  </w:num>
  <w:num w:numId="38" w16cid:durableId="1761833851">
    <w:abstractNumId w:val="40"/>
  </w:num>
  <w:num w:numId="39" w16cid:durableId="610090813">
    <w:abstractNumId w:val="31"/>
  </w:num>
  <w:num w:numId="40" w16cid:durableId="1382167079">
    <w:abstractNumId w:val="22"/>
  </w:num>
  <w:num w:numId="41" w16cid:durableId="491600598">
    <w:abstractNumId w:val="38"/>
  </w:num>
  <w:num w:numId="42" w16cid:durableId="1322851506">
    <w:abstractNumId w:val="10"/>
  </w:num>
  <w:num w:numId="43" w16cid:durableId="1187329154">
    <w:abstractNumId w:val="9"/>
  </w:num>
  <w:num w:numId="44" w16cid:durableId="2128111749">
    <w:abstractNumId w:val="3"/>
  </w:num>
  <w:num w:numId="45" w16cid:durableId="93477484">
    <w:abstractNumId w:val="20"/>
  </w:num>
  <w:num w:numId="46" w16cid:durableId="933711171">
    <w:abstractNumId w:val="29"/>
  </w:num>
  <w:num w:numId="47" w16cid:durableId="1692875092">
    <w:abstractNumId w:val="14"/>
  </w:num>
  <w:num w:numId="48" w16cid:durableId="17879614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72"/>
    <w:rsid w:val="0000625F"/>
    <w:rsid w:val="00010665"/>
    <w:rsid w:val="00012416"/>
    <w:rsid w:val="000130EC"/>
    <w:rsid w:val="000138DB"/>
    <w:rsid w:val="00022038"/>
    <w:rsid w:val="00023785"/>
    <w:rsid w:val="00024C00"/>
    <w:rsid w:val="0002629B"/>
    <w:rsid w:val="00030FAA"/>
    <w:rsid w:val="0003723F"/>
    <w:rsid w:val="00045A33"/>
    <w:rsid w:val="00046255"/>
    <w:rsid w:val="0005089A"/>
    <w:rsid w:val="00052DF8"/>
    <w:rsid w:val="0005418A"/>
    <w:rsid w:val="00056A18"/>
    <w:rsid w:val="00057930"/>
    <w:rsid w:val="000622DE"/>
    <w:rsid w:val="00062EC2"/>
    <w:rsid w:val="0006565B"/>
    <w:rsid w:val="00066A4F"/>
    <w:rsid w:val="0006773E"/>
    <w:rsid w:val="00070096"/>
    <w:rsid w:val="00070C81"/>
    <w:rsid w:val="00071376"/>
    <w:rsid w:val="000728BF"/>
    <w:rsid w:val="000737AF"/>
    <w:rsid w:val="00076831"/>
    <w:rsid w:val="0008480B"/>
    <w:rsid w:val="00085267"/>
    <w:rsid w:val="00086F32"/>
    <w:rsid w:val="00087585"/>
    <w:rsid w:val="0008758C"/>
    <w:rsid w:val="0009581D"/>
    <w:rsid w:val="00096BBB"/>
    <w:rsid w:val="00097344"/>
    <w:rsid w:val="000A05EB"/>
    <w:rsid w:val="000A06D4"/>
    <w:rsid w:val="000A1666"/>
    <w:rsid w:val="000A244E"/>
    <w:rsid w:val="000A38B3"/>
    <w:rsid w:val="000B27DB"/>
    <w:rsid w:val="000B40AC"/>
    <w:rsid w:val="000B53BA"/>
    <w:rsid w:val="000B6D7A"/>
    <w:rsid w:val="000C1D9A"/>
    <w:rsid w:val="000C2D5D"/>
    <w:rsid w:val="000C6B0B"/>
    <w:rsid w:val="000D188F"/>
    <w:rsid w:val="000D1AB4"/>
    <w:rsid w:val="000D2BD6"/>
    <w:rsid w:val="000D462B"/>
    <w:rsid w:val="000D5784"/>
    <w:rsid w:val="000D5E1D"/>
    <w:rsid w:val="000D64EE"/>
    <w:rsid w:val="000E231A"/>
    <w:rsid w:val="000E51F2"/>
    <w:rsid w:val="000E64AE"/>
    <w:rsid w:val="000E6B35"/>
    <w:rsid w:val="000F2918"/>
    <w:rsid w:val="000F2A6B"/>
    <w:rsid w:val="000F2DD3"/>
    <w:rsid w:val="000F3C81"/>
    <w:rsid w:val="000F4315"/>
    <w:rsid w:val="000F4B10"/>
    <w:rsid w:val="000F5DE3"/>
    <w:rsid w:val="00103853"/>
    <w:rsid w:val="001038F5"/>
    <w:rsid w:val="00104428"/>
    <w:rsid w:val="001044F5"/>
    <w:rsid w:val="00113245"/>
    <w:rsid w:val="00115AFF"/>
    <w:rsid w:val="001206C5"/>
    <w:rsid w:val="00123EF3"/>
    <w:rsid w:val="001240AF"/>
    <w:rsid w:val="0012596C"/>
    <w:rsid w:val="001310DD"/>
    <w:rsid w:val="00132A9F"/>
    <w:rsid w:val="00134EE0"/>
    <w:rsid w:val="0013732B"/>
    <w:rsid w:val="00137589"/>
    <w:rsid w:val="00140E1A"/>
    <w:rsid w:val="001462DF"/>
    <w:rsid w:val="00146716"/>
    <w:rsid w:val="001512A9"/>
    <w:rsid w:val="00153269"/>
    <w:rsid w:val="00154494"/>
    <w:rsid w:val="00154735"/>
    <w:rsid w:val="00154CB7"/>
    <w:rsid w:val="00154DF9"/>
    <w:rsid w:val="00157208"/>
    <w:rsid w:val="00162E89"/>
    <w:rsid w:val="001637D7"/>
    <w:rsid w:val="0017271C"/>
    <w:rsid w:val="00173026"/>
    <w:rsid w:val="00175D93"/>
    <w:rsid w:val="00175F6D"/>
    <w:rsid w:val="001764F1"/>
    <w:rsid w:val="00182D97"/>
    <w:rsid w:val="00183725"/>
    <w:rsid w:val="00184F18"/>
    <w:rsid w:val="00185A7A"/>
    <w:rsid w:val="00185A9C"/>
    <w:rsid w:val="00194951"/>
    <w:rsid w:val="00194C11"/>
    <w:rsid w:val="001A0E5C"/>
    <w:rsid w:val="001A35B0"/>
    <w:rsid w:val="001A60DF"/>
    <w:rsid w:val="001A62BC"/>
    <w:rsid w:val="001B172C"/>
    <w:rsid w:val="001B5165"/>
    <w:rsid w:val="001B6DEF"/>
    <w:rsid w:val="001B7CA6"/>
    <w:rsid w:val="001C0380"/>
    <w:rsid w:val="001C304B"/>
    <w:rsid w:val="001C5354"/>
    <w:rsid w:val="001C5851"/>
    <w:rsid w:val="001C7E74"/>
    <w:rsid w:val="001D1069"/>
    <w:rsid w:val="001D16E2"/>
    <w:rsid w:val="001D6BA3"/>
    <w:rsid w:val="001D6BAC"/>
    <w:rsid w:val="001E2963"/>
    <w:rsid w:val="001F49A5"/>
    <w:rsid w:val="001F62DE"/>
    <w:rsid w:val="001F67C4"/>
    <w:rsid w:val="001F6FD9"/>
    <w:rsid w:val="00200711"/>
    <w:rsid w:val="00200FB3"/>
    <w:rsid w:val="002047E9"/>
    <w:rsid w:val="0020532E"/>
    <w:rsid w:val="002062E5"/>
    <w:rsid w:val="002104F5"/>
    <w:rsid w:val="0021294A"/>
    <w:rsid w:val="0021717E"/>
    <w:rsid w:val="00217CF2"/>
    <w:rsid w:val="00224B7E"/>
    <w:rsid w:val="0022796F"/>
    <w:rsid w:val="002302A0"/>
    <w:rsid w:val="002303F4"/>
    <w:rsid w:val="002320F0"/>
    <w:rsid w:val="002336AF"/>
    <w:rsid w:val="00240EBB"/>
    <w:rsid w:val="00241C2B"/>
    <w:rsid w:val="00246166"/>
    <w:rsid w:val="00246E0D"/>
    <w:rsid w:val="0025609B"/>
    <w:rsid w:val="0026043B"/>
    <w:rsid w:val="00260F30"/>
    <w:rsid w:val="002611B2"/>
    <w:rsid w:val="00263FDB"/>
    <w:rsid w:val="00265F22"/>
    <w:rsid w:val="00270CFE"/>
    <w:rsid w:val="00274266"/>
    <w:rsid w:val="00274A73"/>
    <w:rsid w:val="002813C6"/>
    <w:rsid w:val="00283F8F"/>
    <w:rsid w:val="002859CD"/>
    <w:rsid w:val="00285B42"/>
    <w:rsid w:val="00286915"/>
    <w:rsid w:val="00291A60"/>
    <w:rsid w:val="002967F6"/>
    <w:rsid w:val="002976C8"/>
    <w:rsid w:val="00297F19"/>
    <w:rsid w:val="002A00EA"/>
    <w:rsid w:val="002A3EC5"/>
    <w:rsid w:val="002A4A0C"/>
    <w:rsid w:val="002A7A78"/>
    <w:rsid w:val="002A7E51"/>
    <w:rsid w:val="002B202A"/>
    <w:rsid w:val="002B3AC0"/>
    <w:rsid w:val="002B6AE7"/>
    <w:rsid w:val="002C1AFA"/>
    <w:rsid w:val="002C2BB8"/>
    <w:rsid w:val="002C4873"/>
    <w:rsid w:val="002C715B"/>
    <w:rsid w:val="002C74DA"/>
    <w:rsid w:val="002D2AE8"/>
    <w:rsid w:val="002D2B8C"/>
    <w:rsid w:val="002D2F49"/>
    <w:rsid w:val="002D2FE7"/>
    <w:rsid w:val="002E19C6"/>
    <w:rsid w:val="002E284E"/>
    <w:rsid w:val="002E33FE"/>
    <w:rsid w:val="002E4A6A"/>
    <w:rsid w:val="002F3BF5"/>
    <w:rsid w:val="002F5534"/>
    <w:rsid w:val="002F6197"/>
    <w:rsid w:val="002F7E90"/>
    <w:rsid w:val="0030020F"/>
    <w:rsid w:val="003038A6"/>
    <w:rsid w:val="00304E2F"/>
    <w:rsid w:val="00307C05"/>
    <w:rsid w:val="00310A2E"/>
    <w:rsid w:val="0031118B"/>
    <w:rsid w:val="00311285"/>
    <w:rsid w:val="00312118"/>
    <w:rsid w:val="00313CF4"/>
    <w:rsid w:val="0032066A"/>
    <w:rsid w:val="00325605"/>
    <w:rsid w:val="003257DB"/>
    <w:rsid w:val="003266A6"/>
    <w:rsid w:val="00331424"/>
    <w:rsid w:val="00333E6C"/>
    <w:rsid w:val="00334A8C"/>
    <w:rsid w:val="0033596A"/>
    <w:rsid w:val="00336F6F"/>
    <w:rsid w:val="00337E20"/>
    <w:rsid w:val="00341922"/>
    <w:rsid w:val="00342C37"/>
    <w:rsid w:val="00343B37"/>
    <w:rsid w:val="00344154"/>
    <w:rsid w:val="00346D19"/>
    <w:rsid w:val="00347271"/>
    <w:rsid w:val="003516E5"/>
    <w:rsid w:val="00351D13"/>
    <w:rsid w:val="00360080"/>
    <w:rsid w:val="00362031"/>
    <w:rsid w:val="00363771"/>
    <w:rsid w:val="00366DED"/>
    <w:rsid w:val="00367520"/>
    <w:rsid w:val="003705F2"/>
    <w:rsid w:val="003714F6"/>
    <w:rsid w:val="00373DA0"/>
    <w:rsid w:val="00381C04"/>
    <w:rsid w:val="00384882"/>
    <w:rsid w:val="00386956"/>
    <w:rsid w:val="00387E7F"/>
    <w:rsid w:val="00390053"/>
    <w:rsid w:val="00390BD4"/>
    <w:rsid w:val="00390C31"/>
    <w:rsid w:val="00395ADF"/>
    <w:rsid w:val="00395AF1"/>
    <w:rsid w:val="00396DF3"/>
    <w:rsid w:val="00397378"/>
    <w:rsid w:val="003A00A3"/>
    <w:rsid w:val="003A33F7"/>
    <w:rsid w:val="003A780E"/>
    <w:rsid w:val="003B35DC"/>
    <w:rsid w:val="003B72C2"/>
    <w:rsid w:val="003C1C7D"/>
    <w:rsid w:val="003C6458"/>
    <w:rsid w:val="003D108D"/>
    <w:rsid w:val="003D3133"/>
    <w:rsid w:val="003D395C"/>
    <w:rsid w:val="003D3A1C"/>
    <w:rsid w:val="003D5D15"/>
    <w:rsid w:val="003D6D08"/>
    <w:rsid w:val="003E0E29"/>
    <w:rsid w:val="003F4BE7"/>
    <w:rsid w:val="003F52F2"/>
    <w:rsid w:val="003F7C2A"/>
    <w:rsid w:val="004037B3"/>
    <w:rsid w:val="00410CE9"/>
    <w:rsid w:val="00410E60"/>
    <w:rsid w:val="004117B8"/>
    <w:rsid w:val="004127ED"/>
    <w:rsid w:val="00427DA1"/>
    <w:rsid w:val="004310EA"/>
    <w:rsid w:val="00435030"/>
    <w:rsid w:val="004450B3"/>
    <w:rsid w:val="00446E06"/>
    <w:rsid w:val="0044743F"/>
    <w:rsid w:val="004501F6"/>
    <w:rsid w:val="00453441"/>
    <w:rsid w:val="00453632"/>
    <w:rsid w:val="00455306"/>
    <w:rsid w:val="004555B6"/>
    <w:rsid w:val="004575D4"/>
    <w:rsid w:val="00460DDB"/>
    <w:rsid w:val="00462969"/>
    <w:rsid w:val="00462D55"/>
    <w:rsid w:val="00464CB0"/>
    <w:rsid w:val="004669A8"/>
    <w:rsid w:val="00473155"/>
    <w:rsid w:val="00473326"/>
    <w:rsid w:val="00473E24"/>
    <w:rsid w:val="004761C1"/>
    <w:rsid w:val="00480B81"/>
    <w:rsid w:val="00481E21"/>
    <w:rsid w:val="00481FA4"/>
    <w:rsid w:val="00483294"/>
    <w:rsid w:val="00491D6A"/>
    <w:rsid w:val="00493DE2"/>
    <w:rsid w:val="004946E1"/>
    <w:rsid w:val="00495BC5"/>
    <w:rsid w:val="004A1895"/>
    <w:rsid w:val="004A1F00"/>
    <w:rsid w:val="004A31C3"/>
    <w:rsid w:val="004A515E"/>
    <w:rsid w:val="004B15C6"/>
    <w:rsid w:val="004B2D6D"/>
    <w:rsid w:val="004B3B37"/>
    <w:rsid w:val="004B40DE"/>
    <w:rsid w:val="004B679D"/>
    <w:rsid w:val="004B7F93"/>
    <w:rsid w:val="004C03F6"/>
    <w:rsid w:val="004C0614"/>
    <w:rsid w:val="004C0DB8"/>
    <w:rsid w:val="004C0F3C"/>
    <w:rsid w:val="004C289B"/>
    <w:rsid w:val="004C3CCF"/>
    <w:rsid w:val="004C6297"/>
    <w:rsid w:val="004C727A"/>
    <w:rsid w:val="004D3D56"/>
    <w:rsid w:val="004D70A1"/>
    <w:rsid w:val="004E14C4"/>
    <w:rsid w:val="004E2784"/>
    <w:rsid w:val="004E535B"/>
    <w:rsid w:val="004E722C"/>
    <w:rsid w:val="004E730C"/>
    <w:rsid w:val="004E779F"/>
    <w:rsid w:val="004F0067"/>
    <w:rsid w:val="004F099A"/>
    <w:rsid w:val="004F0A35"/>
    <w:rsid w:val="004F14CE"/>
    <w:rsid w:val="004F30DC"/>
    <w:rsid w:val="004F3DE9"/>
    <w:rsid w:val="004F6BE7"/>
    <w:rsid w:val="005009EA"/>
    <w:rsid w:val="00503A40"/>
    <w:rsid w:val="0050507D"/>
    <w:rsid w:val="005106F5"/>
    <w:rsid w:val="005108E0"/>
    <w:rsid w:val="005136BD"/>
    <w:rsid w:val="00514802"/>
    <w:rsid w:val="00515980"/>
    <w:rsid w:val="00522486"/>
    <w:rsid w:val="00523EBA"/>
    <w:rsid w:val="005250DF"/>
    <w:rsid w:val="00527BAF"/>
    <w:rsid w:val="0053344F"/>
    <w:rsid w:val="005335B5"/>
    <w:rsid w:val="00533725"/>
    <w:rsid w:val="00534CA8"/>
    <w:rsid w:val="005368AB"/>
    <w:rsid w:val="00541BD7"/>
    <w:rsid w:val="00543229"/>
    <w:rsid w:val="0055676F"/>
    <w:rsid w:val="005608D8"/>
    <w:rsid w:val="0056132B"/>
    <w:rsid w:val="0056180B"/>
    <w:rsid w:val="00561B50"/>
    <w:rsid w:val="00571165"/>
    <w:rsid w:val="005746A4"/>
    <w:rsid w:val="005776BC"/>
    <w:rsid w:val="00577722"/>
    <w:rsid w:val="005823E1"/>
    <w:rsid w:val="00585EB9"/>
    <w:rsid w:val="00586E28"/>
    <w:rsid w:val="00590A86"/>
    <w:rsid w:val="00592197"/>
    <w:rsid w:val="00592B47"/>
    <w:rsid w:val="00593176"/>
    <w:rsid w:val="00594747"/>
    <w:rsid w:val="0059753A"/>
    <w:rsid w:val="005977D6"/>
    <w:rsid w:val="005A0EAA"/>
    <w:rsid w:val="005A4F47"/>
    <w:rsid w:val="005A534E"/>
    <w:rsid w:val="005A68FA"/>
    <w:rsid w:val="005B0475"/>
    <w:rsid w:val="005B12FB"/>
    <w:rsid w:val="005B3452"/>
    <w:rsid w:val="005B5315"/>
    <w:rsid w:val="005B72C4"/>
    <w:rsid w:val="005C0167"/>
    <w:rsid w:val="005C2251"/>
    <w:rsid w:val="005C244F"/>
    <w:rsid w:val="005C2AF9"/>
    <w:rsid w:val="005C3208"/>
    <w:rsid w:val="005C3485"/>
    <w:rsid w:val="005C6A7B"/>
    <w:rsid w:val="005C7012"/>
    <w:rsid w:val="005D2891"/>
    <w:rsid w:val="005D3211"/>
    <w:rsid w:val="005D3CEB"/>
    <w:rsid w:val="005D4773"/>
    <w:rsid w:val="005D566F"/>
    <w:rsid w:val="005D67BA"/>
    <w:rsid w:val="005E1C25"/>
    <w:rsid w:val="005E1E86"/>
    <w:rsid w:val="005E40DA"/>
    <w:rsid w:val="005E4A61"/>
    <w:rsid w:val="005E4D8D"/>
    <w:rsid w:val="005F0333"/>
    <w:rsid w:val="005F064E"/>
    <w:rsid w:val="005F06EA"/>
    <w:rsid w:val="005F3CB3"/>
    <w:rsid w:val="005F727D"/>
    <w:rsid w:val="0060074D"/>
    <w:rsid w:val="006015F2"/>
    <w:rsid w:val="00602E61"/>
    <w:rsid w:val="006031D7"/>
    <w:rsid w:val="00606934"/>
    <w:rsid w:val="00610B3F"/>
    <w:rsid w:val="006125F1"/>
    <w:rsid w:val="00612ED4"/>
    <w:rsid w:val="00613D46"/>
    <w:rsid w:val="00616DC3"/>
    <w:rsid w:val="00617248"/>
    <w:rsid w:val="0062188F"/>
    <w:rsid w:val="00622315"/>
    <w:rsid w:val="0062398C"/>
    <w:rsid w:val="00624262"/>
    <w:rsid w:val="006243D2"/>
    <w:rsid w:val="0062453C"/>
    <w:rsid w:val="006274FD"/>
    <w:rsid w:val="006279A4"/>
    <w:rsid w:val="00631337"/>
    <w:rsid w:val="00632BE9"/>
    <w:rsid w:val="006357C1"/>
    <w:rsid w:val="006412D0"/>
    <w:rsid w:val="00644944"/>
    <w:rsid w:val="00644FB2"/>
    <w:rsid w:val="00647037"/>
    <w:rsid w:val="00647686"/>
    <w:rsid w:val="006553AD"/>
    <w:rsid w:val="00655A24"/>
    <w:rsid w:val="00656F88"/>
    <w:rsid w:val="00657BEE"/>
    <w:rsid w:val="006610CA"/>
    <w:rsid w:val="00662130"/>
    <w:rsid w:val="006642C6"/>
    <w:rsid w:val="006646B3"/>
    <w:rsid w:val="00667146"/>
    <w:rsid w:val="00671355"/>
    <w:rsid w:val="00676633"/>
    <w:rsid w:val="00677616"/>
    <w:rsid w:val="00680F3B"/>
    <w:rsid w:val="00682745"/>
    <w:rsid w:val="00683AEE"/>
    <w:rsid w:val="00683B38"/>
    <w:rsid w:val="00684037"/>
    <w:rsid w:val="006875EE"/>
    <w:rsid w:val="00687B06"/>
    <w:rsid w:val="00693994"/>
    <w:rsid w:val="006952CA"/>
    <w:rsid w:val="00695D8F"/>
    <w:rsid w:val="0069616A"/>
    <w:rsid w:val="00696393"/>
    <w:rsid w:val="006A1B63"/>
    <w:rsid w:val="006A2042"/>
    <w:rsid w:val="006A420B"/>
    <w:rsid w:val="006B076E"/>
    <w:rsid w:val="006B1B50"/>
    <w:rsid w:val="006B34EB"/>
    <w:rsid w:val="006B581B"/>
    <w:rsid w:val="006B5AF4"/>
    <w:rsid w:val="006B6735"/>
    <w:rsid w:val="006C1961"/>
    <w:rsid w:val="006C1B1A"/>
    <w:rsid w:val="006C2B2A"/>
    <w:rsid w:val="006C3FD1"/>
    <w:rsid w:val="006C43E2"/>
    <w:rsid w:val="006D0C27"/>
    <w:rsid w:val="006D174C"/>
    <w:rsid w:val="006D198F"/>
    <w:rsid w:val="006D38DF"/>
    <w:rsid w:val="006D4F22"/>
    <w:rsid w:val="006D7081"/>
    <w:rsid w:val="006E0438"/>
    <w:rsid w:val="006E2A3A"/>
    <w:rsid w:val="006E36EF"/>
    <w:rsid w:val="006E7194"/>
    <w:rsid w:val="006E7649"/>
    <w:rsid w:val="006E7C2D"/>
    <w:rsid w:val="006F013B"/>
    <w:rsid w:val="006F21BD"/>
    <w:rsid w:val="006F27BC"/>
    <w:rsid w:val="006F409E"/>
    <w:rsid w:val="00701F62"/>
    <w:rsid w:val="00702E0A"/>
    <w:rsid w:val="00702F50"/>
    <w:rsid w:val="00705E5E"/>
    <w:rsid w:val="00706E51"/>
    <w:rsid w:val="0070775E"/>
    <w:rsid w:val="007106D0"/>
    <w:rsid w:val="007130FE"/>
    <w:rsid w:val="0071669C"/>
    <w:rsid w:val="00716AE9"/>
    <w:rsid w:val="00720DB4"/>
    <w:rsid w:val="00721416"/>
    <w:rsid w:val="007251BB"/>
    <w:rsid w:val="00725EDE"/>
    <w:rsid w:val="00726C13"/>
    <w:rsid w:val="00726EEF"/>
    <w:rsid w:val="00726FB7"/>
    <w:rsid w:val="00730D55"/>
    <w:rsid w:val="00733372"/>
    <w:rsid w:val="007339F6"/>
    <w:rsid w:val="007343BD"/>
    <w:rsid w:val="007364B3"/>
    <w:rsid w:val="007530A5"/>
    <w:rsid w:val="00755A21"/>
    <w:rsid w:val="00757219"/>
    <w:rsid w:val="00760EBD"/>
    <w:rsid w:val="00760F1E"/>
    <w:rsid w:val="007614E0"/>
    <w:rsid w:val="007621E5"/>
    <w:rsid w:val="00763559"/>
    <w:rsid w:val="007654C2"/>
    <w:rsid w:val="007666AD"/>
    <w:rsid w:val="00766EED"/>
    <w:rsid w:val="00775E9E"/>
    <w:rsid w:val="0077703C"/>
    <w:rsid w:val="00777D0B"/>
    <w:rsid w:val="0078008C"/>
    <w:rsid w:val="007803E5"/>
    <w:rsid w:val="00780994"/>
    <w:rsid w:val="007852BC"/>
    <w:rsid w:val="0079041B"/>
    <w:rsid w:val="00791015"/>
    <w:rsid w:val="007930B5"/>
    <w:rsid w:val="007945F3"/>
    <w:rsid w:val="00796DA7"/>
    <w:rsid w:val="0079781D"/>
    <w:rsid w:val="00797A85"/>
    <w:rsid w:val="007A0A2D"/>
    <w:rsid w:val="007A3FF6"/>
    <w:rsid w:val="007B6137"/>
    <w:rsid w:val="007B6BC3"/>
    <w:rsid w:val="007B7CDA"/>
    <w:rsid w:val="007C2592"/>
    <w:rsid w:val="007D060C"/>
    <w:rsid w:val="007D110D"/>
    <w:rsid w:val="007D3FD1"/>
    <w:rsid w:val="007D7460"/>
    <w:rsid w:val="007E6FFE"/>
    <w:rsid w:val="007F33E7"/>
    <w:rsid w:val="007F479A"/>
    <w:rsid w:val="0080020E"/>
    <w:rsid w:val="00801648"/>
    <w:rsid w:val="00802E63"/>
    <w:rsid w:val="00803509"/>
    <w:rsid w:val="00803FD6"/>
    <w:rsid w:val="00806619"/>
    <w:rsid w:val="008120F8"/>
    <w:rsid w:val="008146BA"/>
    <w:rsid w:val="00815B86"/>
    <w:rsid w:val="008221FD"/>
    <w:rsid w:val="008315E4"/>
    <w:rsid w:val="00834C9D"/>
    <w:rsid w:val="00836963"/>
    <w:rsid w:val="00843A36"/>
    <w:rsid w:val="00845F07"/>
    <w:rsid w:val="008476DF"/>
    <w:rsid w:val="00850187"/>
    <w:rsid w:val="008505E9"/>
    <w:rsid w:val="008520D6"/>
    <w:rsid w:val="008529EC"/>
    <w:rsid w:val="00853D63"/>
    <w:rsid w:val="00854053"/>
    <w:rsid w:val="00856AAC"/>
    <w:rsid w:val="00860EDD"/>
    <w:rsid w:val="008637CD"/>
    <w:rsid w:val="00863ED3"/>
    <w:rsid w:val="00864D2C"/>
    <w:rsid w:val="00866C61"/>
    <w:rsid w:val="008706ED"/>
    <w:rsid w:val="00870C55"/>
    <w:rsid w:val="0087364A"/>
    <w:rsid w:val="00873AB3"/>
    <w:rsid w:val="00875592"/>
    <w:rsid w:val="00877311"/>
    <w:rsid w:val="00877600"/>
    <w:rsid w:val="00880FE4"/>
    <w:rsid w:val="00881E02"/>
    <w:rsid w:val="0088373F"/>
    <w:rsid w:val="00885570"/>
    <w:rsid w:val="008872F0"/>
    <w:rsid w:val="00892114"/>
    <w:rsid w:val="00892EC0"/>
    <w:rsid w:val="00895D1D"/>
    <w:rsid w:val="008A0A6E"/>
    <w:rsid w:val="008A3DC3"/>
    <w:rsid w:val="008A5373"/>
    <w:rsid w:val="008A6E1C"/>
    <w:rsid w:val="008A7CBB"/>
    <w:rsid w:val="008A7FCF"/>
    <w:rsid w:val="008B0846"/>
    <w:rsid w:val="008B16DD"/>
    <w:rsid w:val="008B1FC7"/>
    <w:rsid w:val="008B2E04"/>
    <w:rsid w:val="008B3CA0"/>
    <w:rsid w:val="008B51A7"/>
    <w:rsid w:val="008B59AC"/>
    <w:rsid w:val="008C096D"/>
    <w:rsid w:val="008C20DF"/>
    <w:rsid w:val="008C6AA0"/>
    <w:rsid w:val="008D0213"/>
    <w:rsid w:val="008D0E0A"/>
    <w:rsid w:val="008D6DB0"/>
    <w:rsid w:val="008E0CF4"/>
    <w:rsid w:val="008E1FAC"/>
    <w:rsid w:val="008E367B"/>
    <w:rsid w:val="008E62AD"/>
    <w:rsid w:val="008E7C40"/>
    <w:rsid w:val="008F13D2"/>
    <w:rsid w:val="008F17B6"/>
    <w:rsid w:val="00901498"/>
    <w:rsid w:val="00906A58"/>
    <w:rsid w:val="00906E88"/>
    <w:rsid w:val="0091154F"/>
    <w:rsid w:val="00911A74"/>
    <w:rsid w:val="00914617"/>
    <w:rsid w:val="00914920"/>
    <w:rsid w:val="0091657A"/>
    <w:rsid w:val="00917FBC"/>
    <w:rsid w:val="0092124E"/>
    <w:rsid w:val="009236D6"/>
    <w:rsid w:val="00923FE6"/>
    <w:rsid w:val="00924946"/>
    <w:rsid w:val="009251F7"/>
    <w:rsid w:val="00925568"/>
    <w:rsid w:val="00925965"/>
    <w:rsid w:val="00925AF7"/>
    <w:rsid w:val="009279EE"/>
    <w:rsid w:val="00930634"/>
    <w:rsid w:val="00932FAB"/>
    <w:rsid w:val="009342BA"/>
    <w:rsid w:val="0093781C"/>
    <w:rsid w:val="00942A49"/>
    <w:rsid w:val="0094511E"/>
    <w:rsid w:val="00945D7D"/>
    <w:rsid w:val="00946A9F"/>
    <w:rsid w:val="00946BC6"/>
    <w:rsid w:val="0094724F"/>
    <w:rsid w:val="00947BE9"/>
    <w:rsid w:val="00950493"/>
    <w:rsid w:val="00953A2F"/>
    <w:rsid w:val="00955ADB"/>
    <w:rsid w:val="00955E82"/>
    <w:rsid w:val="00961A39"/>
    <w:rsid w:val="00962B64"/>
    <w:rsid w:val="009636D3"/>
    <w:rsid w:val="009654E7"/>
    <w:rsid w:val="0096627A"/>
    <w:rsid w:val="009664DB"/>
    <w:rsid w:val="00966EE5"/>
    <w:rsid w:val="00967A8D"/>
    <w:rsid w:val="00967C52"/>
    <w:rsid w:val="0097057F"/>
    <w:rsid w:val="00971F05"/>
    <w:rsid w:val="00972ED6"/>
    <w:rsid w:val="009739DF"/>
    <w:rsid w:val="009821A2"/>
    <w:rsid w:val="00984DA3"/>
    <w:rsid w:val="00992C4F"/>
    <w:rsid w:val="0099369E"/>
    <w:rsid w:val="00993871"/>
    <w:rsid w:val="00993C72"/>
    <w:rsid w:val="009941A1"/>
    <w:rsid w:val="009961F6"/>
    <w:rsid w:val="00997294"/>
    <w:rsid w:val="00997A6F"/>
    <w:rsid w:val="00997F04"/>
    <w:rsid w:val="009A0BCC"/>
    <w:rsid w:val="009A130B"/>
    <w:rsid w:val="009A1E83"/>
    <w:rsid w:val="009A2C56"/>
    <w:rsid w:val="009A7196"/>
    <w:rsid w:val="009A7417"/>
    <w:rsid w:val="009B1334"/>
    <w:rsid w:val="009B5348"/>
    <w:rsid w:val="009B5AFA"/>
    <w:rsid w:val="009B5DA6"/>
    <w:rsid w:val="009B5E52"/>
    <w:rsid w:val="009B7FE0"/>
    <w:rsid w:val="009C2E86"/>
    <w:rsid w:val="009D0EAD"/>
    <w:rsid w:val="009D6736"/>
    <w:rsid w:val="009E24B2"/>
    <w:rsid w:val="009E3131"/>
    <w:rsid w:val="009E34D9"/>
    <w:rsid w:val="009E4965"/>
    <w:rsid w:val="009E7374"/>
    <w:rsid w:val="009E77C8"/>
    <w:rsid w:val="009F1F9A"/>
    <w:rsid w:val="009F303A"/>
    <w:rsid w:val="009F3BAF"/>
    <w:rsid w:val="009F4225"/>
    <w:rsid w:val="009F5123"/>
    <w:rsid w:val="00A03C0D"/>
    <w:rsid w:val="00A0582F"/>
    <w:rsid w:val="00A1075B"/>
    <w:rsid w:val="00A10E76"/>
    <w:rsid w:val="00A13299"/>
    <w:rsid w:val="00A135E9"/>
    <w:rsid w:val="00A15537"/>
    <w:rsid w:val="00A17248"/>
    <w:rsid w:val="00A202F0"/>
    <w:rsid w:val="00A252B2"/>
    <w:rsid w:val="00A26BE6"/>
    <w:rsid w:val="00A30123"/>
    <w:rsid w:val="00A3267F"/>
    <w:rsid w:val="00A32B81"/>
    <w:rsid w:val="00A32D64"/>
    <w:rsid w:val="00A34EA3"/>
    <w:rsid w:val="00A351BA"/>
    <w:rsid w:val="00A37BBA"/>
    <w:rsid w:val="00A403E5"/>
    <w:rsid w:val="00A41BE6"/>
    <w:rsid w:val="00A42917"/>
    <w:rsid w:val="00A44E47"/>
    <w:rsid w:val="00A47C8C"/>
    <w:rsid w:val="00A52DDA"/>
    <w:rsid w:val="00A53D48"/>
    <w:rsid w:val="00A60045"/>
    <w:rsid w:val="00A6177B"/>
    <w:rsid w:val="00A62243"/>
    <w:rsid w:val="00A62AD3"/>
    <w:rsid w:val="00A62DA5"/>
    <w:rsid w:val="00A6401C"/>
    <w:rsid w:val="00A6451A"/>
    <w:rsid w:val="00A659ED"/>
    <w:rsid w:val="00A65A87"/>
    <w:rsid w:val="00A6716C"/>
    <w:rsid w:val="00A70C84"/>
    <w:rsid w:val="00A761B5"/>
    <w:rsid w:val="00A76EE8"/>
    <w:rsid w:val="00A80EDA"/>
    <w:rsid w:val="00A82F81"/>
    <w:rsid w:val="00A83647"/>
    <w:rsid w:val="00A838A6"/>
    <w:rsid w:val="00A83B60"/>
    <w:rsid w:val="00A84321"/>
    <w:rsid w:val="00A8707A"/>
    <w:rsid w:val="00A87492"/>
    <w:rsid w:val="00A8751B"/>
    <w:rsid w:val="00A875B0"/>
    <w:rsid w:val="00A90133"/>
    <w:rsid w:val="00A9292A"/>
    <w:rsid w:val="00A92F59"/>
    <w:rsid w:val="00A92F92"/>
    <w:rsid w:val="00A93CA2"/>
    <w:rsid w:val="00A9456D"/>
    <w:rsid w:val="00A94A4C"/>
    <w:rsid w:val="00A96853"/>
    <w:rsid w:val="00A97455"/>
    <w:rsid w:val="00AA148A"/>
    <w:rsid w:val="00AA1A1E"/>
    <w:rsid w:val="00AA2894"/>
    <w:rsid w:val="00AA34D6"/>
    <w:rsid w:val="00AA37C0"/>
    <w:rsid w:val="00AA53DF"/>
    <w:rsid w:val="00AB12C9"/>
    <w:rsid w:val="00AB5171"/>
    <w:rsid w:val="00AB5800"/>
    <w:rsid w:val="00AB697A"/>
    <w:rsid w:val="00AC293E"/>
    <w:rsid w:val="00AC435E"/>
    <w:rsid w:val="00AC45E6"/>
    <w:rsid w:val="00AC5373"/>
    <w:rsid w:val="00AD171E"/>
    <w:rsid w:val="00AD1B1E"/>
    <w:rsid w:val="00AD26A1"/>
    <w:rsid w:val="00AD2F2B"/>
    <w:rsid w:val="00AD3EFD"/>
    <w:rsid w:val="00AD5ABA"/>
    <w:rsid w:val="00AD6F47"/>
    <w:rsid w:val="00AE1AE8"/>
    <w:rsid w:val="00AE223E"/>
    <w:rsid w:val="00AE40AF"/>
    <w:rsid w:val="00AE4347"/>
    <w:rsid w:val="00AE54D2"/>
    <w:rsid w:val="00AE5F7C"/>
    <w:rsid w:val="00AE6EFC"/>
    <w:rsid w:val="00AF013C"/>
    <w:rsid w:val="00AF0369"/>
    <w:rsid w:val="00AF1C75"/>
    <w:rsid w:val="00AF6D92"/>
    <w:rsid w:val="00B00AD9"/>
    <w:rsid w:val="00B012E2"/>
    <w:rsid w:val="00B015BF"/>
    <w:rsid w:val="00B02115"/>
    <w:rsid w:val="00B024C3"/>
    <w:rsid w:val="00B071D7"/>
    <w:rsid w:val="00B07C96"/>
    <w:rsid w:val="00B12AC3"/>
    <w:rsid w:val="00B12D36"/>
    <w:rsid w:val="00B1335C"/>
    <w:rsid w:val="00B13A76"/>
    <w:rsid w:val="00B153A7"/>
    <w:rsid w:val="00B15D5D"/>
    <w:rsid w:val="00B16F38"/>
    <w:rsid w:val="00B22706"/>
    <w:rsid w:val="00B260C1"/>
    <w:rsid w:val="00B3362F"/>
    <w:rsid w:val="00B36E4D"/>
    <w:rsid w:val="00B374E3"/>
    <w:rsid w:val="00B37D94"/>
    <w:rsid w:val="00B40E53"/>
    <w:rsid w:val="00B4237F"/>
    <w:rsid w:val="00B42590"/>
    <w:rsid w:val="00B4428B"/>
    <w:rsid w:val="00B454D7"/>
    <w:rsid w:val="00B45757"/>
    <w:rsid w:val="00B45A27"/>
    <w:rsid w:val="00B47540"/>
    <w:rsid w:val="00B53112"/>
    <w:rsid w:val="00B54357"/>
    <w:rsid w:val="00B57495"/>
    <w:rsid w:val="00B61786"/>
    <w:rsid w:val="00B62FD7"/>
    <w:rsid w:val="00B633E2"/>
    <w:rsid w:val="00B71BE6"/>
    <w:rsid w:val="00B7370C"/>
    <w:rsid w:val="00B76DC5"/>
    <w:rsid w:val="00B83402"/>
    <w:rsid w:val="00B84884"/>
    <w:rsid w:val="00B85611"/>
    <w:rsid w:val="00B8567C"/>
    <w:rsid w:val="00B94415"/>
    <w:rsid w:val="00BA08D4"/>
    <w:rsid w:val="00BA1000"/>
    <w:rsid w:val="00BA1C57"/>
    <w:rsid w:val="00BA54CF"/>
    <w:rsid w:val="00BB3626"/>
    <w:rsid w:val="00BB453A"/>
    <w:rsid w:val="00BB5670"/>
    <w:rsid w:val="00BC1B66"/>
    <w:rsid w:val="00BC349F"/>
    <w:rsid w:val="00BC3F49"/>
    <w:rsid w:val="00BC7BCB"/>
    <w:rsid w:val="00BE093F"/>
    <w:rsid w:val="00BE38BF"/>
    <w:rsid w:val="00BE3FBF"/>
    <w:rsid w:val="00BE50E1"/>
    <w:rsid w:val="00BE5DDB"/>
    <w:rsid w:val="00BE7A5F"/>
    <w:rsid w:val="00BF262F"/>
    <w:rsid w:val="00BF5DF5"/>
    <w:rsid w:val="00BF62F1"/>
    <w:rsid w:val="00BF7EAA"/>
    <w:rsid w:val="00C02247"/>
    <w:rsid w:val="00C04425"/>
    <w:rsid w:val="00C05252"/>
    <w:rsid w:val="00C0724E"/>
    <w:rsid w:val="00C11821"/>
    <w:rsid w:val="00C12501"/>
    <w:rsid w:val="00C12B67"/>
    <w:rsid w:val="00C1572E"/>
    <w:rsid w:val="00C15ACA"/>
    <w:rsid w:val="00C205F9"/>
    <w:rsid w:val="00C21239"/>
    <w:rsid w:val="00C21294"/>
    <w:rsid w:val="00C21881"/>
    <w:rsid w:val="00C2365A"/>
    <w:rsid w:val="00C2469F"/>
    <w:rsid w:val="00C31005"/>
    <w:rsid w:val="00C31907"/>
    <w:rsid w:val="00C3193C"/>
    <w:rsid w:val="00C31BC8"/>
    <w:rsid w:val="00C36F3D"/>
    <w:rsid w:val="00C37AA3"/>
    <w:rsid w:val="00C418C5"/>
    <w:rsid w:val="00C421F5"/>
    <w:rsid w:val="00C44E54"/>
    <w:rsid w:val="00C462C2"/>
    <w:rsid w:val="00C47906"/>
    <w:rsid w:val="00C54EC0"/>
    <w:rsid w:val="00C57937"/>
    <w:rsid w:val="00C64CA3"/>
    <w:rsid w:val="00C67A8E"/>
    <w:rsid w:val="00C70A0A"/>
    <w:rsid w:val="00C72B36"/>
    <w:rsid w:val="00C74D72"/>
    <w:rsid w:val="00C7638E"/>
    <w:rsid w:val="00C77F6F"/>
    <w:rsid w:val="00C90F3B"/>
    <w:rsid w:val="00C93D28"/>
    <w:rsid w:val="00C946E4"/>
    <w:rsid w:val="00C966E9"/>
    <w:rsid w:val="00C96F29"/>
    <w:rsid w:val="00CA1452"/>
    <w:rsid w:val="00CA1B5F"/>
    <w:rsid w:val="00CA4B41"/>
    <w:rsid w:val="00CA6757"/>
    <w:rsid w:val="00CA7F6E"/>
    <w:rsid w:val="00CB0A9B"/>
    <w:rsid w:val="00CB2A84"/>
    <w:rsid w:val="00CB31D3"/>
    <w:rsid w:val="00CB3A61"/>
    <w:rsid w:val="00CB3BB8"/>
    <w:rsid w:val="00CB508E"/>
    <w:rsid w:val="00CB5C58"/>
    <w:rsid w:val="00CC0368"/>
    <w:rsid w:val="00CC3651"/>
    <w:rsid w:val="00CC3C4E"/>
    <w:rsid w:val="00CD1B41"/>
    <w:rsid w:val="00CD2D84"/>
    <w:rsid w:val="00CD39CF"/>
    <w:rsid w:val="00CD52A4"/>
    <w:rsid w:val="00CD6255"/>
    <w:rsid w:val="00CE5084"/>
    <w:rsid w:val="00CE5846"/>
    <w:rsid w:val="00CE6207"/>
    <w:rsid w:val="00CE77F1"/>
    <w:rsid w:val="00CF2698"/>
    <w:rsid w:val="00CF3D2D"/>
    <w:rsid w:val="00CF3DBE"/>
    <w:rsid w:val="00CF3F60"/>
    <w:rsid w:val="00CF4355"/>
    <w:rsid w:val="00CF5326"/>
    <w:rsid w:val="00CF6658"/>
    <w:rsid w:val="00CF7B88"/>
    <w:rsid w:val="00D0038F"/>
    <w:rsid w:val="00D058E7"/>
    <w:rsid w:val="00D1031B"/>
    <w:rsid w:val="00D10D0B"/>
    <w:rsid w:val="00D11209"/>
    <w:rsid w:val="00D12331"/>
    <w:rsid w:val="00D1394C"/>
    <w:rsid w:val="00D24823"/>
    <w:rsid w:val="00D25578"/>
    <w:rsid w:val="00D263F5"/>
    <w:rsid w:val="00D2677C"/>
    <w:rsid w:val="00D27D52"/>
    <w:rsid w:val="00D31DC1"/>
    <w:rsid w:val="00D327BE"/>
    <w:rsid w:val="00D34636"/>
    <w:rsid w:val="00D35AF8"/>
    <w:rsid w:val="00D37C0B"/>
    <w:rsid w:val="00D40F2A"/>
    <w:rsid w:val="00D41E36"/>
    <w:rsid w:val="00D424B3"/>
    <w:rsid w:val="00D4361C"/>
    <w:rsid w:val="00D4725A"/>
    <w:rsid w:val="00D50125"/>
    <w:rsid w:val="00D5063C"/>
    <w:rsid w:val="00D507E0"/>
    <w:rsid w:val="00D516E9"/>
    <w:rsid w:val="00D51BE0"/>
    <w:rsid w:val="00D5645E"/>
    <w:rsid w:val="00D6302D"/>
    <w:rsid w:val="00D63AC4"/>
    <w:rsid w:val="00D70572"/>
    <w:rsid w:val="00D77230"/>
    <w:rsid w:val="00D77A1F"/>
    <w:rsid w:val="00D81F79"/>
    <w:rsid w:val="00D82849"/>
    <w:rsid w:val="00D86C90"/>
    <w:rsid w:val="00D87F7F"/>
    <w:rsid w:val="00D90595"/>
    <w:rsid w:val="00D90DE8"/>
    <w:rsid w:val="00D917A9"/>
    <w:rsid w:val="00D92463"/>
    <w:rsid w:val="00DA376C"/>
    <w:rsid w:val="00DA4668"/>
    <w:rsid w:val="00DB0B7B"/>
    <w:rsid w:val="00DB4D18"/>
    <w:rsid w:val="00DB4E8D"/>
    <w:rsid w:val="00DB5F0F"/>
    <w:rsid w:val="00DB6743"/>
    <w:rsid w:val="00DC0180"/>
    <w:rsid w:val="00DC0183"/>
    <w:rsid w:val="00DD1995"/>
    <w:rsid w:val="00DD28CC"/>
    <w:rsid w:val="00DD3BC9"/>
    <w:rsid w:val="00DD3FB2"/>
    <w:rsid w:val="00DD40EE"/>
    <w:rsid w:val="00DD6881"/>
    <w:rsid w:val="00DD7E91"/>
    <w:rsid w:val="00DE0EDC"/>
    <w:rsid w:val="00DE107B"/>
    <w:rsid w:val="00DF2727"/>
    <w:rsid w:val="00DF35E3"/>
    <w:rsid w:val="00DF39B5"/>
    <w:rsid w:val="00DF5449"/>
    <w:rsid w:val="00DF60A9"/>
    <w:rsid w:val="00E007BF"/>
    <w:rsid w:val="00E01264"/>
    <w:rsid w:val="00E02A16"/>
    <w:rsid w:val="00E0438E"/>
    <w:rsid w:val="00E04F01"/>
    <w:rsid w:val="00E075C9"/>
    <w:rsid w:val="00E11677"/>
    <w:rsid w:val="00E158CE"/>
    <w:rsid w:val="00E2045F"/>
    <w:rsid w:val="00E223FF"/>
    <w:rsid w:val="00E228C9"/>
    <w:rsid w:val="00E23E3D"/>
    <w:rsid w:val="00E260C6"/>
    <w:rsid w:val="00E2768B"/>
    <w:rsid w:val="00E27AD5"/>
    <w:rsid w:val="00E3029D"/>
    <w:rsid w:val="00E310DE"/>
    <w:rsid w:val="00E314F3"/>
    <w:rsid w:val="00E32DDC"/>
    <w:rsid w:val="00E3338E"/>
    <w:rsid w:val="00E336CB"/>
    <w:rsid w:val="00E34292"/>
    <w:rsid w:val="00E40BC1"/>
    <w:rsid w:val="00E42925"/>
    <w:rsid w:val="00E42FD9"/>
    <w:rsid w:val="00E47719"/>
    <w:rsid w:val="00E4775E"/>
    <w:rsid w:val="00E507AC"/>
    <w:rsid w:val="00E50E04"/>
    <w:rsid w:val="00E524A9"/>
    <w:rsid w:val="00E53C9C"/>
    <w:rsid w:val="00E57E7C"/>
    <w:rsid w:val="00E57EB9"/>
    <w:rsid w:val="00E60C4F"/>
    <w:rsid w:val="00E62314"/>
    <w:rsid w:val="00E62838"/>
    <w:rsid w:val="00E62DE0"/>
    <w:rsid w:val="00E63A65"/>
    <w:rsid w:val="00E71171"/>
    <w:rsid w:val="00E71B7B"/>
    <w:rsid w:val="00E73429"/>
    <w:rsid w:val="00E73574"/>
    <w:rsid w:val="00E74607"/>
    <w:rsid w:val="00E74AD6"/>
    <w:rsid w:val="00E75DE2"/>
    <w:rsid w:val="00E81B3B"/>
    <w:rsid w:val="00E87022"/>
    <w:rsid w:val="00E916BD"/>
    <w:rsid w:val="00E97208"/>
    <w:rsid w:val="00EA052B"/>
    <w:rsid w:val="00EA16DB"/>
    <w:rsid w:val="00EA36B1"/>
    <w:rsid w:val="00EA3805"/>
    <w:rsid w:val="00EA4A69"/>
    <w:rsid w:val="00EA4F64"/>
    <w:rsid w:val="00EA5713"/>
    <w:rsid w:val="00EA77B6"/>
    <w:rsid w:val="00EB28C8"/>
    <w:rsid w:val="00EB2A1C"/>
    <w:rsid w:val="00EB348F"/>
    <w:rsid w:val="00EB3E06"/>
    <w:rsid w:val="00EB5FAF"/>
    <w:rsid w:val="00EB6613"/>
    <w:rsid w:val="00EB6870"/>
    <w:rsid w:val="00EB7661"/>
    <w:rsid w:val="00EC47E7"/>
    <w:rsid w:val="00EC5C8F"/>
    <w:rsid w:val="00EC6F5E"/>
    <w:rsid w:val="00EC7BAD"/>
    <w:rsid w:val="00ED5353"/>
    <w:rsid w:val="00ED60F7"/>
    <w:rsid w:val="00ED6489"/>
    <w:rsid w:val="00ED7DDF"/>
    <w:rsid w:val="00EE093A"/>
    <w:rsid w:val="00EE0F24"/>
    <w:rsid w:val="00EE1CFB"/>
    <w:rsid w:val="00EE21B1"/>
    <w:rsid w:val="00EE46C6"/>
    <w:rsid w:val="00EE60B1"/>
    <w:rsid w:val="00EF051E"/>
    <w:rsid w:val="00EF4C4E"/>
    <w:rsid w:val="00EF5C63"/>
    <w:rsid w:val="00EF5F58"/>
    <w:rsid w:val="00EF6FC8"/>
    <w:rsid w:val="00EF761B"/>
    <w:rsid w:val="00F0139E"/>
    <w:rsid w:val="00F02AE2"/>
    <w:rsid w:val="00F0346C"/>
    <w:rsid w:val="00F04007"/>
    <w:rsid w:val="00F053BE"/>
    <w:rsid w:val="00F10550"/>
    <w:rsid w:val="00F1388F"/>
    <w:rsid w:val="00F15813"/>
    <w:rsid w:val="00F21877"/>
    <w:rsid w:val="00F23327"/>
    <w:rsid w:val="00F30C9C"/>
    <w:rsid w:val="00F316E2"/>
    <w:rsid w:val="00F33E10"/>
    <w:rsid w:val="00F343E2"/>
    <w:rsid w:val="00F3576D"/>
    <w:rsid w:val="00F36693"/>
    <w:rsid w:val="00F4108A"/>
    <w:rsid w:val="00F4109F"/>
    <w:rsid w:val="00F42C81"/>
    <w:rsid w:val="00F43857"/>
    <w:rsid w:val="00F469F8"/>
    <w:rsid w:val="00F508AC"/>
    <w:rsid w:val="00F51227"/>
    <w:rsid w:val="00F52323"/>
    <w:rsid w:val="00F56782"/>
    <w:rsid w:val="00F56DD9"/>
    <w:rsid w:val="00F61363"/>
    <w:rsid w:val="00F641DA"/>
    <w:rsid w:val="00F71321"/>
    <w:rsid w:val="00F72C06"/>
    <w:rsid w:val="00F74860"/>
    <w:rsid w:val="00F74B08"/>
    <w:rsid w:val="00F8002D"/>
    <w:rsid w:val="00F808DF"/>
    <w:rsid w:val="00F8570E"/>
    <w:rsid w:val="00F8703A"/>
    <w:rsid w:val="00F91BBA"/>
    <w:rsid w:val="00F93086"/>
    <w:rsid w:val="00F9583A"/>
    <w:rsid w:val="00F962D6"/>
    <w:rsid w:val="00F96558"/>
    <w:rsid w:val="00F96A5A"/>
    <w:rsid w:val="00F97084"/>
    <w:rsid w:val="00FA06A7"/>
    <w:rsid w:val="00FA1396"/>
    <w:rsid w:val="00FA4CDB"/>
    <w:rsid w:val="00FA5A8A"/>
    <w:rsid w:val="00FA6BAE"/>
    <w:rsid w:val="00FA78A7"/>
    <w:rsid w:val="00FB28BB"/>
    <w:rsid w:val="00FB4A85"/>
    <w:rsid w:val="00FB7A9F"/>
    <w:rsid w:val="00FC01D9"/>
    <w:rsid w:val="00FC1961"/>
    <w:rsid w:val="00FC2981"/>
    <w:rsid w:val="00FC2B13"/>
    <w:rsid w:val="00FC6C5B"/>
    <w:rsid w:val="00FC6CDC"/>
    <w:rsid w:val="00FC6D92"/>
    <w:rsid w:val="00FD1274"/>
    <w:rsid w:val="00FD3EF7"/>
    <w:rsid w:val="00FD3FF3"/>
    <w:rsid w:val="00FD4DD8"/>
    <w:rsid w:val="00FD6AB8"/>
    <w:rsid w:val="00FE0197"/>
    <w:rsid w:val="00FE186B"/>
    <w:rsid w:val="00FE1F68"/>
    <w:rsid w:val="00FE33B9"/>
    <w:rsid w:val="00FE4546"/>
    <w:rsid w:val="00FE4D8B"/>
    <w:rsid w:val="00FE63CF"/>
    <w:rsid w:val="00FF33EB"/>
    <w:rsid w:val="00FF4484"/>
    <w:rsid w:val="00FF4782"/>
    <w:rsid w:val="00FF6A06"/>
    <w:rsid w:val="00FF7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CA2E"/>
  <w15:chartTrackingRefBased/>
  <w15:docId w15:val="{319DCF04-7EAB-4859-AB43-AB7FD2EA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8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786"/>
    <w:pPr>
      <w:spacing w:line="276" w:lineRule="auto"/>
      <w:jc w:val="left"/>
    </w:pPr>
    <w:rPr>
      <w:sz w:val="22"/>
    </w:rPr>
  </w:style>
  <w:style w:type="paragraph" w:styleId="Titre1">
    <w:name w:val="heading 1"/>
    <w:basedOn w:val="Normal"/>
    <w:next w:val="Normal"/>
    <w:link w:val="Titre1Car"/>
    <w:uiPriority w:val="9"/>
    <w:qFormat/>
    <w:rsid w:val="00C74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74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51227"/>
    <w:pPr>
      <w:keepNext/>
      <w:keepLines/>
      <w:spacing w:before="160" w:after="80"/>
      <w:outlineLvl w:val="2"/>
    </w:pPr>
    <w:rPr>
      <w:rFonts w:eastAsiaTheme="majorEastAsia" w:cstheme="majorBidi"/>
      <w:color w:val="0070C0"/>
      <w:sz w:val="28"/>
      <w:szCs w:val="28"/>
    </w:rPr>
  </w:style>
  <w:style w:type="paragraph" w:styleId="Titre4">
    <w:name w:val="heading 4"/>
    <w:basedOn w:val="Normal"/>
    <w:next w:val="Normal"/>
    <w:link w:val="Titre4Car"/>
    <w:uiPriority w:val="9"/>
    <w:unhideWhenUsed/>
    <w:qFormat/>
    <w:rsid w:val="00024C00"/>
    <w:pPr>
      <w:keepNext/>
      <w:keepLines/>
      <w:spacing w:before="80" w:after="40"/>
      <w:outlineLvl w:val="3"/>
    </w:pPr>
    <w:rPr>
      <w:rFonts w:eastAsiaTheme="majorEastAsia" w:cstheme="majorBidi"/>
      <w:iCs/>
      <w:color w:val="0F4761" w:themeColor="accent1" w:themeShade="BF"/>
      <w:sz w:val="26"/>
    </w:rPr>
  </w:style>
  <w:style w:type="paragraph" w:styleId="Titre5">
    <w:name w:val="heading 5"/>
    <w:basedOn w:val="Normal"/>
    <w:next w:val="Normal"/>
    <w:link w:val="Titre5Car"/>
    <w:uiPriority w:val="9"/>
    <w:semiHidden/>
    <w:unhideWhenUsed/>
    <w:qFormat/>
    <w:rsid w:val="00C74D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4D7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4D7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4D7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4D72"/>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4D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74D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51227"/>
    <w:rPr>
      <w:rFonts w:eastAsiaTheme="majorEastAsia" w:cstheme="majorBidi"/>
      <w:color w:val="0070C0"/>
      <w:sz w:val="28"/>
      <w:szCs w:val="28"/>
    </w:rPr>
  </w:style>
  <w:style w:type="character" w:customStyle="1" w:styleId="Titre4Car">
    <w:name w:val="Titre 4 Car"/>
    <w:basedOn w:val="Policepardfaut"/>
    <w:link w:val="Titre4"/>
    <w:uiPriority w:val="9"/>
    <w:rsid w:val="00024C00"/>
    <w:rPr>
      <w:rFonts w:eastAsiaTheme="majorEastAsia" w:cstheme="majorBidi"/>
      <w:iCs/>
      <w:color w:val="0F4761" w:themeColor="accent1" w:themeShade="BF"/>
      <w:sz w:val="26"/>
    </w:rPr>
  </w:style>
  <w:style w:type="character" w:customStyle="1" w:styleId="Titre5Car">
    <w:name w:val="Titre 5 Car"/>
    <w:basedOn w:val="Policepardfaut"/>
    <w:link w:val="Titre5"/>
    <w:uiPriority w:val="9"/>
    <w:semiHidden/>
    <w:rsid w:val="00C74D72"/>
    <w:rPr>
      <w:rFonts w:eastAsiaTheme="majorEastAsia" w:cstheme="majorBidi"/>
      <w:color w:val="0F4761" w:themeColor="accent1" w:themeShade="BF"/>
      <w:sz w:val="22"/>
    </w:rPr>
  </w:style>
  <w:style w:type="character" w:customStyle="1" w:styleId="Titre6Car">
    <w:name w:val="Titre 6 Car"/>
    <w:basedOn w:val="Policepardfaut"/>
    <w:link w:val="Titre6"/>
    <w:uiPriority w:val="9"/>
    <w:semiHidden/>
    <w:rsid w:val="00C74D72"/>
    <w:rPr>
      <w:rFonts w:eastAsiaTheme="majorEastAsia" w:cstheme="majorBidi"/>
      <w:i/>
      <w:iCs/>
      <w:color w:val="595959" w:themeColor="text1" w:themeTint="A6"/>
      <w:sz w:val="22"/>
    </w:rPr>
  </w:style>
  <w:style w:type="character" w:customStyle="1" w:styleId="Titre7Car">
    <w:name w:val="Titre 7 Car"/>
    <w:basedOn w:val="Policepardfaut"/>
    <w:link w:val="Titre7"/>
    <w:uiPriority w:val="9"/>
    <w:semiHidden/>
    <w:rsid w:val="00C74D72"/>
    <w:rPr>
      <w:rFonts w:eastAsiaTheme="majorEastAsia" w:cstheme="majorBidi"/>
      <w:color w:val="595959" w:themeColor="text1" w:themeTint="A6"/>
      <w:sz w:val="22"/>
    </w:rPr>
  </w:style>
  <w:style w:type="character" w:customStyle="1" w:styleId="Titre8Car">
    <w:name w:val="Titre 8 Car"/>
    <w:basedOn w:val="Policepardfaut"/>
    <w:link w:val="Titre8"/>
    <w:uiPriority w:val="9"/>
    <w:semiHidden/>
    <w:rsid w:val="00C74D72"/>
    <w:rPr>
      <w:rFonts w:eastAsiaTheme="majorEastAsia" w:cstheme="majorBidi"/>
      <w:i/>
      <w:iCs/>
      <w:color w:val="272727" w:themeColor="text1" w:themeTint="D8"/>
      <w:sz w:val="22"/>
    </w:rPr>
  </w:style>
  <w:style w:type="character" w:customStyle="1" w:styleId="Titre9Car">
    <w:name w:val="Titre 9 Car"/>
    <w:basedOn w:val="Policepardfaut"/>
    <w:link w:val="Titre9"/>
    <w:uiPriority w:val="9"/>
    <w:semiHidden/>
    <w:rsid w:val="00C74D72"/>
    <w:rPr>
      <w:rFonts w:eastAsiaTheme="majorEastAsia" w:cstheme="majorBidi"/>
      <w:color w:val="272727" w:themeColor="text1" w:themeTint="D8"/>
      <w:sz w:val="22"/>
    </w:rPr>
  </w:style>
  <w:style w:type="paragraph" w:styleId="Titre">
    <w:name w:val="Title"/>
    <w:basedOn w:val="Normal"/>
    <w:next w:val="Normal"/>
    <w:link w:val="TitreCar"/>
    <w:uiPriority w:val="10"/>
    <w:qFormat/>
    <w:rsid w:val="00C74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4D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4D7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4D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4D7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74D72"/>
    <w:rPr>
      <w:i/>
      <w:iCs/>
      <w:color w:val="404040" w:themeColor="text1" w:themeTint="BF"/>
      <w:sz w:val="22"/>
    </w:rPr>
  </w:style>
  <w:style w:type="paragraph" w:styleId="Paragraphedeliste">
    <w:name w:val="List Paragraph"/>
    <w:basedOn w:val="Normal"/>
    <w:uiPriority w:val="34"/>
    <w:qFormat/>
    <w:rsid w:val="00C74D72"/>
    <w:pPr>
      <w:ind w:left="720"/>
      <w:contextualSpacing/>
    </w:pPr>
  </w:style>
  <w:style w:type="character" w:styleId="Accentuationintense">
    <w:name w:val="Intense Emphasis"/>
    <w:basedOn w:val="Policepardfaut"/>
    <w:uiPriority w:val="21"/>
    <w:qFormat/>
    <w:rsid w:val="00C74D72"/>
    <w:rPr>
      <w:i/>
      <w:iCs/>
      <w:color w:val="0F4761" w:themeColor="accent1" w:themeShade="BF"/>
    </w:rPr>
  </w:style>
  <w:style w:type="paragraph" w:styleId="Citationintense">
    <w:name w:val="Intense Quote"/>
    <w:basedOn w:val="Normal"/>
    <w:next w:val="Normal"/>
    <w:link w:val="CitationintenseCar"/>
    <w:uiPriority w:val="30"/>
    <w:qFormat/>
    <w:rsid w:val="00C7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4D72"/>
    <w:rPr>
      <w:i/>
      <w:iCs/>
      <w:color w:val="0F4761" w:themeColor="accent1" w:themeShade="BF"/>
      <w:sz w:val="22"/>
    </w:rPr>
  </w:style>
  <w:style w:type="character" w:styleId="Rfrenceintense">
    <w:name w:val="Intense Reference"/>
    <w:basedOn w:val="Policepardfaut"/>
    <w:uiPriority w:val="32"/>
    <w:qFormat/>
    <w:rsid w:val="00C74D72"/>
    <w:rPr>
      <w:b/>
      <w:bCs/>
      <w:smallCaps/>
      <w:color w:val="0F4761" w:themeColor="accent1" w:themeShade="BF"/>
      <w:spacing w:val="5"/>
    </w:rPr>
  </w:style>
  <w:style w:type="character" w:styleId="Lienhypertexte">
    <w:name w:val="Hyperlink"/>
    <w:basedOn w:val="Policepardfaut"/>
    <w:uiPriority w:val="99"/>
    <w:unhideWhenUsed/>
    <w:rsid w:val="004E14C4"/>
    <w:rPr>
      <w:color w:val="467886" w:themeColor="hyperlink"/>
      <w:u w:val="single"/>
    </w:rPr>
  </w:style>
  <w:style w:type="character" w:styleId="Mentionnonrsolue">
    <w:name w:val="Unresolved Mention"/>
    <w:basedOn w:val="Policepardfaut"/>
    <w:uiPriority w:val="99"/>
    <w:semiHidden/>
    <w:unhideWhenUsed/>
    <w:rsid w:val="004E14C4"/>
    <w:rPr>
      <w:color w:val="605E5C"/>
      <w:shd w:val="clear" w:color="auto" w:fill="E1DFDD"/>
    </w:rPr>
  </w:style>
  <w:style w:type="paragraph" w:styleId="NormalWeb">
    <w:name w:val="Normal (Web)"/>
    <w:basedOn w:val="Normal"/>
    <w:uiPriority w:val="99"/>
    <w:semiHidden/>
    <w:unhideWhenUsed/>
    <w:rsid w:val="00313CF4"/>
    <w:rPr>
      <w:rFonts w:ascii="Times New Roman" w:hAnsi="Times New Roman" w:cs="Times New Roman"/>
      <w:sz w:val="24"/>
    </w:rPr>
  </w:style>
  <w:style w:type="character" w:styleId="Lienhypertextesuivivisit">
    <w:name w:val="FollowedHyperlink"/>
    <w:basedOn w:val="Policepardfaut"/>
    <w:uiPriority w:val="99"/>
    <w:semiHidden/>
    <w:unhideWhenUsed/>
    <w:rsid w:val="009F303A"/>
    <w:rPr>
      <w:color w:val="96607D" w:themeColor="followedHyperlink"/>
      <w:u w:val="single"/>
    </w:rPr>
  </w:style>
  <w:style w:type="paragraph" w:styleId="Notedebasdepage">
    <w:name w:val="footnote text"/>
    <w:basedOn w:val="Normal"/>
    <w:link w:val="NotedebasdepageCar"/>
    <w:uiPriority w:val="99"/>
    <w:semiHidden/>
    <w:unhideWhenUsed/>
    <w:rsid w:val="00680F3B"/>
    <w:pPr>
      <w:spacing w:line="240" w:lineRule="auto"/>
    </w:pPr>
    <w:rPr>
      <w:sz w:val="20"/>
      <w:szCs w:val="20"/>
    </w:rPr>
  </w:style>
  <w:style w:type="character" w:customStyle="1" w:styleId="NotedebasdepageCar">
    <w:name w:val="Note de bas de page Car"/>
    <w:basedOn w:val="Policepardfaut"/>
    <w:link w:val="Notedebasdepage"/>
    <w:uiPriority w:val="99"/>
    <w:semiHidden/>
    <w:rsid w:val="00680F3B"/>
    <w:rPr>
      <w:sz w:val="20"/>
      <w:szCs w:val="20"/>
    </w:rPr>
  </w:style>
  <w:style w:type="character" w:styleId="Appelnotedebasdep">
    <w:name w:val="footnote reference"/>
    <w:basedOn w:val="Policepardfaut"/>
    <w:uiPriority w:val="99"/>
    <w:semiHidden/>
    <w:unhideWhenUsed/>
    <w:rsid w:val="00680F3B"/>
    <w:rPr>
      <w:vertAlign w:val="superscript"/>
    </w:rPr>
  </w:style>
  <w:style w:type="paragraph" w:styleId="En-tte">
    <w:name w:val="header"/>
    <w:basedOn w:val="Normal"/>
    <w:link w:val="En-tteCar"/>
    <w:uiPriority w:val="99"/>
    <w:unhideWhenUsed/>
    <w:rsid w:val="005B12FB"/>
    <w:pPr>
      <w:tabs>
        <w:tab w:val="center" w:pos="4536"/>
        <w:tab w:val="right" w:pos="9072"/>
      </w:tabs>
      <w:spacing w:line="240" w:lineRule="auto"/>
    </w:pPr>
  </w:style>
  <w:style w:type="character" w:customStyle="1" w:styleId="En-tteCar">
    <w:name w:val="En-tête Car"/>
    <w:basedOn w:val="Policepardfaut"/>
    <w:link w:val="En-tte"/>
    <w:uiPriority w:val="99"/>
    <w:rsid w:val="005B12FB"/>
    <w:rPr>
      <w:sz w:val="22"/>
    </w:rPr>
  </w:style>
  <w:style w:type="paragraph" w:styleId="Pieddepage">
    <w:name w:val="footer"/>
    <w:basedOn w:val="Normal"/>
    <w:link w:val="PieddepageCar"/>
    <w:uiPriority w:val="99"/>
    <w:unhideWhenUsed/>
    <w:rsid w:val="005B12FB"/>
    <w:pPr>
      <w:tabs>
        <w:tab w:val="center" w:pos="4536"/>
        <w:tab w:val="right" w:pos="9072"/>
      </w:tabs>
      <w:spacing w:line="240" w:lineRule="auto"/>
    </w:pPr>
  </w:style>
  <w:style w:type="character" w:customStyle="1" w:styleId="PieddepageCar">
    <w:name w:val="Pied de page Car"/>
    <w:basedOn w:val="Policepardfaut"/>
    <w:link w:val="Pieddepage"/>
    <w:uiPriority w:val="99"/>
    <w:rsid w:val="005B12FB"/>
    <w:rPr>
      <w:sz w:val="22"/>
    </w:rPr>
  </w:style>
  <w:style w:type="table" w:styleId="Grilledutableau">
    <w:name w:val="Table Grid"/>
    <w:basedOn w:val="TableauNormal"/>
    <w:uiPriority w:val="39"/>
    <w:rsid w:val="00A252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83F8F"/>
    <w:pPr>
      <w:spacing w:before="240" w:after="0" w:line="259" w:lineRule="auto"/>
      <w:outlineLvl w:val="9"/>
    </w:pPr>
    <w:rPr>
      <w:kern w:val="0"/>
      <w:sz w:val="32"/>
      <w:szCs w:val="32"/>
      <w:lang w:eastAsia="fr-FR"/>
      <w14:ligatures w14:val="none"/>
    </w:rPr>
  </w:style>
  <w:style w:type="paragraph" w:styleId="TM2">
    <w:name w:val="toc 2"/>
    <w:basedOn w:val="Normal"/>
    <w:next w:val="Normal"/>
    <w:autoRedefine/>
    <w:uiPriority w:val="39"/>
    <w:unhideWhenUsed/>
    <w:rsid w:val="00283F8F"/>
    <w:pPr>
      <w:spacing w:after="100"/>
      <w:ind w:left="220"/>
    </w:pPr>
  </w:style>
  <w:style w:type="paragraph" w:styleId="TM3">
    <w:name w:val="toc 3"/>
    <w:basedOn w:val="Normal"/>
    <w:next w:val="Normal"/>
    <w:autoRedefine/>
    <w:uiPriority w:val="39"/>
    <w:unhideWhenUsed/>
    <w:rsid w:val="00283F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s10508-023-02576-9" TargetMode="External"/><Relationship Id="rId21" Type="http://schemas.openxmlformats.org/officeDocument/2006/relationships/hyperlink" Target="https://doi.org/10.1001/jamapediatrics.2022.2959" TargetMode="External"/><Relationship Id="rId42" Type="http://schemas.openxmlformats.org/officeDocument/2006/relationships/hyperlink" Target="https://doi.org/10.1007/s10508-022-02472-8" TargetMode="External"/><Relationship Id="rId63" Type="http://schemas.openxmlformats.org/officeDocument/2006/relationships/hyperlink" Target="https://doi.org/10.1542/peds.2019-1725" TargetMode="External"/><Relationship Id="rId84" Type="http://schemas.openxmlformats.org/officeDocument/2006/relationships/hyperlink" Target="https://www.transition-mineurs.com/cass-review-contexte" TargetMode="External"/><Relationship Id="rId138" Type="http://schemas.openxmlformats.org/officeDocument/2006/relationships/hyperlink" Target="https://doi.org/10.4158/1934-2403-23.12.1437" TargetMode="External"/><Relationship Id="rId159" Type="http://schemas.openxmlformats.org/officeDocument/2006/relationships/hyperlink" Target="https://www.transition-mineurs.com/post/rapport-hhs-dysphorie-de-genre-mineurs" TargetMode="External"/><Relationship Id="rId107" Type="http://schemas.openxmlformats.org/officeDocument/2006/relationships/hyperlink" Target="https://doi.org/10.1080/0092623X.2022.2136117" TargetMode="External"/><Relationship Id="rId11" Type="http://schemas.openxmlformats.org/officeDocument/2006/relationships/hyperlink" Target="https://journals.plos.org/plosone/article?id=10.1371/journal.pone.0202330" TargetMode="External"/><Relationship Id="rId32" Type="http://schemas.openxmlformats.org/officeDocument/2006/relationships/hyperlink" Target="https://doi.org/10.1056/NEJMp2313283" TargetMode="External"/><Relationship Id="rId53" Type="http://schemas.openxmlformats.org/officeDocument/2006/relationships/hyperlink" Target="https://doi.org/10.1136/jme-2023-109282" TargetMode="External"/><Relationship Id="rId74" Type="http://schemas.openxmlformats.org/officeDocument/2006/relationships/hyperlink" Target="https://doi.org/10.1007/s10578-023-01541-w" TargetMode="External"/><Relationship Id="rId128" Type="http://schemas.openxmlformats.org/officeDocument/2006/relationships/hyperlink" Target="https://doi.org/10.1542/peds.2018-2162" TargetMode="External"/><Relationship Id="rId149" Type="http://schemas.openxmlformats.org/officeDocument/2006/relationships/hyperlink" Target="https://adc.bmj.com/content/109/Suppl_2/s65" TargetMode="External"/><Relationship Id="rId5" Type="http://schemas.openxmlformats.org/officeDocument/2006/relationships/webSettings" Target="webSettings.xml"/><Relationship Id="rId95" Type="http://schemas.openxmlformats.org/officeDocument/2006/relationships/hyperlink" Target="https://doi.org/10.1056/NEJMp2413747" TargetMode="External"/><Relationship Id="rId160" Type="http://schemas.openxmlformats.org/officeDocument/2006/relationships/hyperlink" Target="https://www.aap.org/en/news-room/news-releases/aap/2025/aap-statement-on-hhs-report-treatment-for-pediatric-gender-dysphoria" TargetMode="External"/><Relationship Id="rId22" Type="http://schemas.openxmlformats.org/officeDocument/2006/relationships/hyperlink" Target="https://doi.org/10.1001/jamanetworkopen.2022.0978" TargetMode="External"/><Relationship Id="rId43" Type="http://schemas.openxmlformats.org/officeDocument/2006/relationships/hyperlink" Target="https://doi.org/10.1016/j.jclinepi.2010.07.015" TargetMode="External"/><Relationship Id="rId64" Type="http://schemas.openxmlformats.org/officeDocument/2006/relationships/hyperlink" Target="https://www.endocrine.org/advocacy/position-statements/transgender-health" TargetMode="External"/><Relationship Id="rId118" Type="http://schemas.openxmlformats.org/officeDocument/2006/relationships/hyperlink" Target="https://jamanetwork.com/journals/jamapsychiatry/fullarticle/2749479" TargetMode="External"/><Relationship Id="rId139" Type="http://schemas.openxmlformats.org/officeDocument/2006/relationships/hyperlink" Target="https://doi.org/10.1136/bmj.p382" TargetMode="External"/><Relationship Id="rId85" Type="http://schemas.openxmlformats.org/officeDocument/2006/relationships/hyperlink" Target="https://doi.org/10.1007/s00787-024-02440-8" TargetMode="External"/><Relationship Id="rId150" Type="http://schemas.openxmlformats.org/officeDocument/2006/relationships/hyperlink" Target="https://www.canva.com/design/DAG3MJ4p7Rw/GrVxAwwfipn1TJXba9NqaA/watch?utm_content=DAG3MJ4p7Rw&amp;utm_campaign=designshare&amp;utm_medium=link2&amp;utm_source=uniquelinks&amp;utlId=hd1bca5e230" TargetMode="External"/><Relationship Id="rId12" Type="http://schemas.openxmlformats.org/officeDocument/2006/relationships/hyperlink" Target="https://retractionwatch.com/2018/08/29/reader-outcry-prompts-brown-to-retract-press-release-on-trans-teens/" TargetMode="External"/><Relationship Id="rId33" Type="http://schemas.openxmlformats.org/officeDocument/2006/relationships/hyperlink" Target="https://doi.org/10.1542/peds.2023-064292" TargetMode="External"/><Relationship Id="rId108" Type="http://schemas.openxmlformats.org/officeDocument/2006/relationships/hyperlink" Target="https://doi.org/10.1080/0092623X.2022.2150346" TargetMode="External"/><Relationship Id="rId129" Type="http://schemas.openxmlformats.org/officeDocument/2006/relationships/hyperlink" Target="https://psycnet.apa.org/doiLanding?doi=10.1037%2Fa0039906" TargetMode="External"/><Relationship Id="rId54" Type="http://schemas.openxmlformats.org/officeDocument/2006/relationships/hyperlink" Target="https://doi.org/10.1136/bmj.p382" TargetMode="External"/><Relationship Id="rId70" Type="http://schemas.openxmlformats.org/officeDocument/2006/relationships/hyperlink" Target="https://doi.org/10.1007/s10508-020-01844-2" TargetMode="External"/><Relationship Id="rId75" Type="http://schemas.openxmlformats.org/officeDocument/2006/relationships/hyperlink" Target="https://doi.org/10.1136/bmjment-2023-300940" TargetMode="External"/><Relationship Id="rId91" Type="http://schemas.openxmlformats.org/officeDocument/2006/relationships/hyperlink" Target="https://doi.org/10.1007/s10508-023-02623-5" TargetMode="External"/><Relationship Id="rId96" Type="http://schemas.openxmlformats.org/officeDocument/2006/relationships/hyperlink" Target="https://doi.org/10.1136/archdischild-2024-327994" TargetMode="External"/><Relationship Id="rId140" Type="http://schemas.openxmlformats.org/officeDocument/2006/relationships/hyperlink" Target="https://doi.org/10.1080/26895269.2022.2100644" TargetMode="External"/><Relationship Id="rId145" Type="http://schemas.openxmlformats.org/officeDocument/2006/relationships/hyperlink" Target="https://opa.hhs.gov/sites/default/files/2025-05/gender-dysphoria-report.pdf" TargetMode="External"/><Relationship Id="rId161" Type="http://schemas.openxmlformats.org/officeDocument/2006/relationships/hyperlink" Target="https://wpath.org/wp-content/uploads/2025/05/WPATH-USPATH-Response-to-HHS-Report-02May2025-1.pdf" TargetMode="External"/><Relationship Id="rId166" Type="http://schemas.openxmlformats.org/officeDocument/2006/relationships/hyperlink" Target="https://webarchive.nationalarchives.gov.uk/ukgwa/20250310143633/https:/cass.independent-review.uk/home/publications/final-repor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1/jamasurg.2021.0953" TargetMode="External"/><Relationship Id="rId28" Type="http://schemas.openxmlformats.org/officeDocument/2006/relationships/hyperlink" Target="https://doi.org/10.1056/NEJMp2213085" TargetMode="External"/><Relationship Id="rId49" Type="http://schemas.openxmlformats.org/officeDocument/2006/relationships/hyperlink" Target="https://doi.org/10.1136/archdischild-2024-327994" TargetMode="External"/><Relationship Id="rId114" Type="http://schemas.openxmlformats.org/officeDocument/2006/relationships/hyperlink" Target="https://www.jahonline.org/article/S1054-139X(23)00070-8/fulltext" TargetMode="External"/><Relationship Id="rId119" Type="http://schemas.openxmlformats.org/officeDocument/2006/relationships/hyperlink" Target="https://publications.aap.org/pediatrics/article/145/2/e20191725/68259/Pubertal-Suppression-for-Transgender-Youth-and" TargetMode="External"/><Relationship Id="rId44" Type="http://schemas.openxmlformats.org/officeDocument/2006/relationships/hyperlink" Target="https://doi.org/10.1007/s10508-023-02623-5" TargetMode="External"/><Relationship Id="rId60" Type="http://schemas.openxmlformats.org/officeDocument/2006/relationships/hyperlink" Target="https://docs.google.com/document/d/16cm0lzz2_e5x_ar0H9kbPePwVLIvTRq1/edit?usp=sharing&amp;ouid=106007038663574957877&amp;rtpof=true&amp;sd=true" TargetMode="External"/><Relationship Id="rId65" Type="http://schemas.openxmlformats.org/officeDocument/2006/relationships/hyperlink" Target="https://www.reuters.com/article/business/healthcare-pharmaceuticals/for-some-trans-youth-suicide-risk-lowers-with-puberty-suppression-idUSKBN1ZM310" TargetMode="External"/><Relationship Id="rId81" Type="http://schemas.openxmlformats.org/officeDocument/2006/relationships/hyperlink" Target="https://adc.bmj.com/pages/gender-identity-service-series" TargetMode="External"/><Relationship Id="rId86" Type="http://schemas.openxmlformats.org/officeDocument/2006/relationships/hyperlink" Target="https://web.archive.org/web/20240701205449/https:/law.yale.edu/sites/default/files/documents/integrity-project_cass-response.pdf" TargetMode="External"/><Relationship Id="rId130" Type="http://schemas.openxmlformats.org/officeDocument/2006/relationships/hyperlink" Target="https://doi.org/10.1136/bmj.p382" TargetMode="External"/><Relationship Id="rId135" Type="http://schemas.openxmlformats.org/officeDocument/2006/relationships/hyperlink" Target="https://adc.bmj.com/content/109/Suppl_2/s65" TargetMode="External"/><Relationship Id="rId151" Type="http://schemas.openxmlformats.org/officeDocument/2006/relationships/image" Target="media/image1.png"/><Relationship Id="rId156" Type="http://schemas.openxmlformats.org/officeDocument/2006/relationships/hyperlink" Target="https://opa.hhs.gov/gender-dysphoria-report" TargetMode="External"/><Relationship Id="rId13" Type="http://schemas.openxmlformats.org/officeDocument/2006/relationships/hyperlink" Target="https://doi.org/10.1111/apa.17150" TargetMode="External"/><Relationship Id="rId18" Type="http://schemas.openxmlformats.org/officeDocument/2006/relationships/hyperlink" Target="https://www.economist.com/united-states/2024/06/27/research-into-trans-medicine-has-been-manipulated" TargetMode="External"/><Relationship Id="rId39" Type="http://schemas.openxmlformats.org/officeDocument/2006/relationships/hyperlink" Target="https://doi.org/10.1038/s41574-023-00824-5" TargetMode="External"/><Relationship Id="rId109" Type="http://schemas.openxmlformats.org/officeDocument/2006/relationships/hyperlink" Target="https://doi.org/10.1001/jamanetworkopen.2022.0978" TargetMode="External"/><Relationship Id="rId34" Type="http://schemas.openxmlformats.org/officeDocument/2006/relationships/hyperlink" Target="https://doi.org/10.1542/peds.2019-1725" TargetMode="External"/><Relationship Id="rId50" Type="http://schemas.openxmlformats.org/officeDocument/2006/relationships/hyperlink" Target="https://journals.sagepub.com/doi/10.1177/10398562241276335" TargetMode="External"/><Relationship Id="rId55" Type="http://schemas.openxmlformats.org/officeDocument/2006/relationships/hyperlink" Target="https://doi.org/10.1177/26344041241269298" TargetMode="External"/><Relationship Id="rId76" Type="http://schemas.openxmlformats.org/officeDocument/2006/relationships/hyperlink" Target="https://www.nejm.org/doi/10.1056/NEJMp2213085" TargetMode="External"/><Relationship Id="rId97" Type="http://schemas.openxmlformats.org/officeDocument/2006/relationships/hyperlink" Target="https://doi.org/10.1001/jamapediatrics.2021.5348" TargetMode="External"/><Relationship Id="rId104" Type="http://schemas.openxmlformats.org/officeDocument/2006/relationships/hyperlink" Target="https://doi.org/10.1097/PRS.0000000000010243" TargetMode="External"/><Relationship Id="rId120" Type="http://schemas.openxmlformats.org/officeDocument/2006/relationships/hyperlink" Target="https://www.ncbi.nlm.nih.gov/pmc/articles/PMC8213007/" TargetMode="External"/><Relationship Id="rId125" Type="http://schemas.openxmlformats.org/officeDocument/2006/relationships/hyperlink" Target="https://doi.org/10.4158/1934-2403-23.12.1437" TargetMode="External"/><Relationship Id="rId141" Type="http://schemas.openxmlformats.org/officeDocument/2006/relationships/hyperlink" Target="https://ahca.myflorida.com/letkidsbekids/docs/AHCA_GAPMS_June_2022_Attachment_C.pdf" TargetMode="External"/><Relationship Id="rId146" Type="http://schemas.openxmlformats.org/officeDocument/2006/relationships/hyperlink" Target="https://3ffc5afc-59aa-460c-94d2-8f7752021778.usrfiles.com/ugd/3ffc5a_df7a727d06db451d9403187ac5716bef.pdf"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136/jme-2023-109282" TargetMode="External"/><Relationship Id="rId92" Type="http://schemas.openxmlformats.org/officeDocument/2006/relationships/hyperlink" Target="https://doi.org/10.1056/NEJMe2216191" TargetMode="External"/><Relationship Id="rId162" Type="http://schemas.openxmlformats.org/officeDocument/2006/relationships/hyperlink" Target="https://edition.cnn.com/2025/05/28/health/transgender-care-letter-kennedy" TargetMode="External"/><Relationship Id="rId2" Type="http://schemas.openxmlformats.org/officeDocument/2006/relationships/numbering" Target="numbering.xml"/><Relationship Id="rId29" Type="http://schemas.openxmlformats.org/officeDocument/2006/relationships/hyperlink" Target="https://doi.org/10.1056/NEJMp2416382" TargetMode="External"/><Relationship Id="rId24" Type="http://schemas.openxmlformats.org/officeDocument/2006/relationships/hyperlink" Target="https://doi.org/10.1001/jamanetworkopen.2022.24722" TargetMode="External"/><Relationship Id="rId40" Type="http://schemas.openxmlformats.org/officeDocument/2006/relationships/hyperlink" Target="https://doi.org/10.1038/s41574-021-00535-9" TargetMode="External"/><Relationship Id="rId45" Type="http://schemas.openxmlformats.org/officeDocument/2006/relationships/hyperlink" Target="https://doi.org/10.1097/GOX.0000000000003477" TargetMode="External"/><Relationship Id="rId66" Type="http://schemas.openxmlformats.org/officeDocument/2006/relationships/hyperlink" Target="https://doi.org/10.1136/archdischild-2023-326669" TargetMode="External"/><Relationship Id="rId87" Type="http://schemas.openxmlformats.org/officeDocument/2006/relationships/hyperlink" Target="https://doi.org/10.1136/archdischild-2024-327994" TargetMode="External"/><Relationship Id="rId110" Type="http://schemas.openxmlformats.org/officeDocument/2006/relationships/hyperlink" Target="https://doi.org/10.1111/jsm.13034" TargetMode="External"/><Relationship Id="rId115" Type="http://schemas.openxmlformats.org/officeDocument/2006/relationships/hyperlink" Target="https://web.archive.org/web/20230630173254/https:/asbopenletter.com/" TargetMode="External"/><Relationship Id="rId131" Type="http://schemas.openxmlformats.org/officeDocument/2006/relationships/hyperlink" Target="https://doi.org/10.1001/jama.2021.15319" TargetMode="External"/><Relationship Id="rId136" Type="http://schemas.openxmlformats.org/officeDocument/2006/relationships/hyperlink" Target="https://www.jahonline.org/article/S1054-139X(20)30131-2/fulltext" TargetMode="External"/><Relationship Id="rId157" Type="http://schemas.openxmlformats.org/officeDocument/2006/relationships/hyperlink" Target="https://opa.hhs.gov/sites/default/files/2025-11/gender-dysphoria-report.pdf" TargetMode="External"/><Relationship Id="rId61" Type="http://schemas.openxmlformats.org/officeDocument/2006/relationships/hyperlink" Target="tandfonline.com/doi/full/10.1080/26895269.2022.2100644" TargetMode="External"/><Relationship Id="rId82" Type="http://schemas.openxmlformats.org/officeDocument/2006/relationships/hyperlink" Target="https://webarchive.nationalarchives.gov.uk/ukgwa/20250310143633/https:/cass.independent-review.uk/home/publications/final-report" TargetMode="External"/><Relationship Id="rId152" Type="http://schemas.openxmlformats.org/officeDocument/2006/relationships/hyperlink" Target="https://www.apa.org/about/policy/transgender-nonbinary-inclusive-care.pdf" TargetMode="External"/><Relationship Id="rId19" Type="http://schemas.openxmlformats.org/officeDocument/2006/relationships/hyperlink" Target="https://doi.org/10.1001/jamapediatrics.2021.4483" TargetMode="External"/><Relationship Id="rId14" Type="http://schemas.openxmlformats.org/officeDocument/2006/relationships/hyperlink" Target="https://unherd.com/2024/02/why-did-three-journals-reject-my-puberty-blocker-study/" TargetMode="External"/><Relationship Id="rId30" Type="http://schemas.openxmlformats.org/officeDocument/2006/relationships/hyperlink" Target="https://doi.org/10.1056/NEJMp2500489" TargetMode="External"/><Relationship Id="rId35" Type="http://schemas.openxmlformats.org/officeDocument/2006/relationships/hyperlink" Target="https://doi.org/10.1016/j.jadohealth.2024.09.009" TargetMode="External"/><Relationship Id="rId56" Type="http://schemas.openxmlformats.org/officeDocument/2006/relationships/hyperlink" Target="https://doi.org/10.1097/GOX.0000000000003477" TargetMode="External"/><Relationship Id="rId77" Type="http://schemas.openxmlformats.org/officeDocument/2006/relationships/hyperlink" Target="https://jci.jams.pub/article/5/2/298" TargetMode="External"/><Relationship Id="rId100" Type="http://schemas.openxmlformats.org/officeDocument/2006/relationships/hyperlink" Target="https://dornsife.usc.edu/cesr/censorship-in-the-sciences-interdisciplinary-perspectives" TargetMode="External"/><Relationship Id="rId105" Type="http://schemas.openxmlformats.org/officeDocument/2006/relationships/hyperlink" Target="https://doi.org/10.1080/0092623x.2022.2046221" TargetMode="External"/><Relationship Id="rId126" Type="http://schemas.openxmlformats.org/officeDocument/2006/relationships/hyperlink" Target="https://www.tandfonline.com/doi/abs/10.1080/15532739.2011.700873" TargetMode="External"/><Relationship Id="rId147" Type="http://schemas.openxmlformats.org/officeDocument/2006/relationships/hyperlink" Target="http://www.nytimes.com/2024/06/25/health/transgender-minors-surgeries.html" TargetMode="External"/><Relationship Id="rId168" Type="http://schemas.openxmlformats.org/officeDocument/2006/relationships/fontTable" Target="fontTable.xml"/><Relationship Id="rId8" Type="http://schemas.openxmlformats.org/officeDocument/2006/relationships/hyperlink" Target="https://journalofcontroversialideas.org/article/5/2/298/htm" TargetMode="External"/><Relationship Id="rId51" Type="http://schemas.openxmlformats.org/officeDocument/2006/relationships/hyperlink" Target="https://www.tandfonline.com/doi/full/10.1080/0092623X.2025.2455133" TargetMode="External"/><Relationship Id="rId72" Type="http://schemas.openxmlformats.org/officeDocument/2006/relationships/hyperlink" Target="https://webarchive.nationalarchives.gov.uk/ukgwa/20250310143633/https:/cass.independent-review.uk/home/publications/final-report" TargetMode="External"/><Relationship Id="rId93" Type="http://schemas.openxmlformats.org/officeDocument/2006/relationships/hyperlink" Target="https://pure.amsterdamumc.nl/ws/portalfiles/portal/142443693/Psychosocial-functioning-in-transgender-youth-after-hormones-reply.pdf" TargetMode="External"/><Relationship Id="rId98" Type="http://schemas.openxmlformats.org/officeDocument/2006/relationships/hyperlink" Target="https://doi.org/10.1001/jamapediatrics.2021.2969" TargetMode="External"/><Relationship Id="rId121" Type="http://schemas.openxmlformats.org/officeDocument/2006/relationships/hyperlink" Target="https://journals.plos.org/plosone/article?id=10.1371/journal.pone.0261039" TargetMode="External"/><Relationship Id="rId142" Type="http://schemas.openxmlformats.org/officeDocument/2006/relationships/hyperlink" Target="https://www.alabamaag.gov/wp-content/uploads/2024/10/SJ.DX173-560-23-HHS-5-REDACTED.pdf" TargetMode="External"/><Relationship Id="rId163" Type="http://schemas.openxmlformats.org/officeDocument/2006/relationships/hyperlink" Target="https://adc.bmj.com/content/109/Suppl_2/s65" TargetMode="External"/><Relationship Id="rId3" Type="http://schemas.openxmlformats.org/officeDocument/2006/relationships/styles" Target="styles.xml"/><Relationship Id="rId25" Type="http://schemas.openxmlformats.org/officeDocument/2006/relationships/hyperlink" Target="https://doi.org/10.1001/jamasurg.2022.2644" TargetMode="External"/><Relationship Id="rId46" Type="http://schemas.openxmlformats.org/officeDocument/2006/relationships/hyperlink" Target="https://ahca.myflorida.com/letkidsbekids/docs/AHCA_GAPMS_June_2022_Attachment_C.pdf" TargetMode="External"/><Relationship Id="rId67" Type="http://schemas.openxmlformats.org/officeDocument/2006/relationships/hyperlink" Target="https://doi.org/10.1001/jamapsychiatry.2019.2285" TargetMode="External"/><Relationship Id="rId116" Type="http://schemas.openxmlformats.org/officeDocument/2006/relationships/hyperlink" Target="https://www.tandfonline.com/doi/full/10.1080/26895269.2022.2100644" TargetMode="External"/><Relationship Id="rId137" Type="http://schemas.openxmlformats.org/officeDocument/2006/relationships/hyperlink" Target="https://psycnet.apa.org/doiLanding?doi=10.1037%2Fa0039906" TargetMode="External"/><Relationship Id="rId158" Type="http://schemas.openxmlformats.org/officeDocument/2006/relationships/hyperlink" Target="https://3ffc5afc-59aa-460c-94d2-8f7752021778.usrfiles.com/ugd/3ffc5a_df7a727d06db451d9403187ac5716bef.pdf" TargetMode="External"/><Relationship Id="rId20" Type="http://schemas.openxmlformats.org/officeDocument/2006/relationships/hyperlink" Target="https://doi.org/10.1001/jamasurg.2023.6052" TargetMode="External"/><Relationship Id="rId41" Type="http://schemas.openxmlformats.org/officeDocument/2006/relationships/hyperlink" Target="https://www.gov.uk/government/publications/review-of-suicides-and-gender-dysphoria-at-the-tavistock-and-portman-nhs-foundation-trust/review-of-suicides-and-gender-dysphoria-at-the-tavistock-and-portman-nhs-foundation-trust-independent-report" TargetMode="External"/><Relationship Id="rId62" Type="http://schemas.openxmlformats.org/officeDocument/2006/relationships/hyperlink" Target="https://doi.org/10.1007/s10508-020-01743-6" TargetMode="External"/><Relationship Id="rId83" Type="http://schemas.openxmlformats.org/officeDocument/2006/relationships/hyperlink" Target="https://www.england.nhs.uk/2024/04/nhs-england-responds-to-the-publication-of-the-independent-review-of-gender-identity-services-for-children-and-young-people" TargetMode="External"/><Relationship Id="rId88" Type="http://schemas.openxmlformats.org/officeDocument/2006/relationships/hyperlink" Target="https://www.tandfonline.com/doi/full/10.1080/0092623X.2025.2455133" TargetMode="External"/><Relationship Id="rId111" Type="http://schemas.openxmlformats.org/officeDocument/2006/relationships/hyperlink" Target="https://doi.org/10.1007/s10508-020-01743-6" TargetMode="External"/><Relationship Id="rId132" Type="http://schemas.openxmlformats.org/officeDocument/2006/relationships/hyperlink" Target="https://doi.org/10.1542/peds.2018-2162" TargetMode="External"/><Relationship Id="rId153" Type="http://schemas.openxmlformats.org/officeDocument/2006/relationships/hyperlink" Target="https://www.endocrine.org/advocacy/position-statements/transgender-health" TargetMode="External"/><Relationship Id="rId15" Type="http://schemas.openxmlformats.org/officeDocument/2006/relationships/hyperlink" Target="https://wpath.org/" TargetMode="External"/><Relationship Id="rId36" Type="http://schemas.openxmlformats.org/officeDocument/2006/relationships/hyperlink" Target="https://doi.org/10.1016/j.jadohealth.2021.08.020" TargetMode="External"/><Relationship Id="rId57" Type="http://schemas.openxmlformats.org/officeDocument/2006/relationships/hyperlink" Target="https://www.tandfonline.com/doi/full/10.1080/0092623X.2022.2150346" TargetMode="External"/><Relationship Id="rId106" Type="http://schemas.openxmlformats.org/officeDocument/2006/relationships/hyperlink" Target="https://doi.org/10.1080/0092623X.2022.2080780" TargetMode="External"/><Relationship Id="rId127" Type="http://schemas.openxmlformats.org/officeDocument/2006/relationships/hyperlink" Target="https://doi.org/10.1080/26895269.2022.2100644" TargetMode="External"/><Relationship Id="rId10" Type="http://schemas.openxmlformats.org/officeDocument/2006/relationships/hyperlink" Target="https://doi.org/10.1007/s10508-024-03035-9" TargetMode="External"/><Relationship Id="rId31" Type="http://schemas.openxmlformats.org/officeDocument/2006/relationships/hyperlink" Target="https://doi.org/10.1056/NEJMp2411007" TargetMode="External"/><Relationship Id="rId52" Type="http://schemas.openxmlformats.org/officeDocument/2006/relationships/hyperlink" Target="https://doi.org/10.1007/s10508-024-03005-1" TargetMode="External"/><Relationship Id="rId73" Type="http://schemas.openxmlformats.org/officeDocument/2006/relationships/hyperlink" Target="https://doi.org/10.1210/jendso/bvab011" TargetMode="External"/><Relationship Id="rId78" Type="http://schemas.openxmlformats.org/officeDocument/2006/relationships/hyperlink" Target="https://3ffc5afc-59aa-460c-94d2-8f7752021778.usrfiles.com/ugd/3ffc5a_f4960bb39cc54eb8a9fa395c01383461.pdf" TargetMode="External"/><Relationship Id="rId94" Type="http://schemas.openxmlformats.org/officeDocument/2006/relationships/hyperlink" Target="https://doi.org/10.1056/NEJMoa2206297" TargetMode="External"/><Relationship Id="rId99" Type="http://schemas.openxmlformats.org/officeDocument/2006/relationships/hyperlink" Target="https://doi.org/10.1001/jama.2024.28203" TargetMode="External"/><Relationship Id="rId101" Type="http://schemas.openxmlformats.org/officeDocument/2006/relationships/hyperlink" Target="https://www.nejm.org/doi/10.1056/NEJMp2213085" TargetMode="External"/><Relationship Id="rId122" Type="http://schemas.openxmlformats.org/officeDocument/2006/relationships/hyperlink" Target="https://journals.plos.org/plosone/article?id=10.1371/journal.pone.0202330" TargetMode="External"/><Relationship Id="rId143" Type="http://schemas.openxmlformats.org/officeDocument/2006/relationships/hyperlink" Target="https://www.transition-mineurs.com/wpath-a-supprime-des-revues-systematiques" TargetMode="External"/><Relationship Id="rId148" Type="http://schemas.openxmlformats.org/officeDocument/2006/relationships/hyperlink" Target="https://segm.org/The-Economist-WPATH-Research-Trans-Medicine-Manipulated" TargetMode="External"/><Relationship Id="rId164" Type="http://schemas.openxmlformats.org/officeDocument/2006/relationships/hyperlink" Target="https://doi.org/10.1080/0092623x.2022.2046221"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11930-025-00404-w" TargetMode="External"/><Relationship Id="rId26" Type="http://schemas.openxmlformats.org/officeDocument/2006/relationships/hyperlink" Target="https://doi.org/10.1001/jamasurg.2022.2606" TargetMode="External"/><Relationship Id="rId47" Type="http://schemas.openxmlformats.org/officeDocument/2006/relationships/hyperlink" Target="https://doi.org/10.1097/GOX.0000000000003951" TargetMode="External"/><Relationship Id="rId68" Type="http://schemas.openxmlformats.org/officeDocument/2006/relationships/hyperlink" Target="https://www.sltrib.com/opinion/commentary/2019/11/02/jack-turban-alex-s" TargetMode="External"/><Relationship Id="rId89" Type="http://schemas.openxmlformats.org/officeDocument/2006/relationships/hyperlink" Target="https://www.tandfonline.com/doi/full/10.1080/15265161.2025.2504397" TargetMode="External"/><Relationship Id="rId112" Type="http://schemas.openxmlformats.org/officeDocument/2006/relationships/hyperlink" Target="https://doi.org/10.1007/s10508-020-01844-2" TargetMode="External"/><Relationship Id="rId133" Type="http://schemas.openxmlformats.org/officeDocument/2006/relationships/hyperlink" Target="https://3ffc5afc-59aa-460c-94d2-8f7752021778.usrfiles.com/ugd/3ffc5a_e51950dafd614e47a589ed32a19adfcc.pdf" TargetMode="External"/><Relationship Id="rId154" Type="http://schemas.openxmlformats.org/officeDocument/2006/relationships/hyperlink" Target="https://www.ama-assn.org/press-center/press-releases/ama-reinforces-opposition-restrictions-transgender-medical-care" TargetMode="External"/><Relationship Id="rId16" Type="http://schemas.openxmlformats.org/officeDocument/2006/relationships/hyperlink" Target="https://www.tandfonline.com/doi/full/10.1080/26895269.2022.2100644" TargetMode="External"/><Relationship Id="rId37" Type="http://schemas.openxmlformats.org/officeDocument/2006/relationships/hyperlink" Target="https://doi.org/10.1016/j.jadohealth.2024.08.002" TargetMode="External"/><Relationship Id="rId58" Type="http://schemas.openxmlformats.org/officeDocument/2006/relationships/hyperlink" Target="https://doi.org/10.1111/camh.12533" TargetMode="External"/><Relationship Id="rId79" Type="http://schemas.openxmlformats.org/officeDocument/2006/relationships/hyperlink" Target="https://doi.org/10.1007/s11930-025-00404-w" TargetMode="External"/><Relationship Id="rId102" Type="http://schemas.openxmlformats.org/officeDocument/2006/relationships/hyperlink" Target="https://doi.org/10.1001/jamasurg.2022.5828" TargetMode="External"/><Relationship Id="rId123" Type="http://schemas.openxmlformats.org/officeDocument/2006/relationships/hyperlink" Target="https://researchers.one/articles/23.10.00002v1" TargetMode="External"/><Relationship Id="rId144" Type="http://schemas.openxmlformats.org/officeDocument/2006/relationships/hyperlink" Target="https://doi.org/10.1136/bmj.q2227" TargetMode="External"/><Relationship Id="rId90" Type="http://schemas.openxmlformats.org/officeDocument/2006/relationships/hyperlink" Target="https://doi.org/10.1001/jamasurg.2023.6052" TargetMode="External"/><Relationship Id="rId165" Type="http://schemas.openxmlformats.org/officeDocument/2006/relationships/hyperlink" Target="https://doi.org/10.12968/hmed.2024.0743" TargetMode="External"/><Relationship Id="rId27" Type="http://schemas.openxmlformats.org/officeDocument/2006/relationships/hyperlink" Target="https://doi.org/10.1001/jamanetworkopen.2024.46799" TargetMode="External"/><Relationship Id="rId48" Type="http://schemas.openxmlformats.org/officeDocument/2006/relationships/hyperlink" Target="https://doi.org/10.1007/s10508-023-02623-5" TargetMode="External"/><Relationship Id="rId69" Type="http://schemas.openxmlformats.org/officeDocument/2006/relationships/hyperlink" Target="https://www.gendergp.com/exploring-detransition-with-dr-jack-turban" TargetMode="External"/><Relationship Id="rId113" Type="http://schemas.openxmlformats.org/officeDocument/2006/relationships/hyperlink" Target="https://link.springer.com/article/10.1007/s10508-023-02754-9" TargetMode="External"/><Relationship Id="rId134" Type="http://schemas.openxmlformats.org/officeDocument/2006/relationships/hyperlink" Target="https://doi.org/10.1007/s10508-025-03106-5" TargetMode="External"/><Relationship Id="rId80" Type="http://schemas.openxmlformats.org/officeDocument/2006/relationships/hyperlink" Target="https://3ffc5afc-59aa-460c-94d2-8f7752021778.usrfiles.com/ugd/3ffc5a_df7a727d06db451d9403187ac5716bef.pdf" TargetMode="External"/><Relationship Id="rId155" Type="http://schemas.openxmlformats.org/officeDocument/2006/relationships/hyperlink" Target="https://www.bmj.com/content/385/bmj.q1141" TargetMode="External"/><Relationship Id="rId17" Type="http://schemas.openxmlformats.org/officeDocument/2006/relationships/hyperlink" Target="https://www.crd.york.ac.uk/PROSPERO/view/CRD42018115379" TargetMode="External"/><Relationship Id="rId38" Type="http://schemas.openxmlformats.org/officeDocument/2006/relationships/hyperlink" Target="https://doi.org/10.1146/annurev-med-043021-032007" TargetMode="External"/><Relationship Id="rId59" Type="http://schemas.openxmlformats.org/officeDocument/2006/relationships/hyperlink" Target="https://doi.org/10.1542/peds.2019-1725" TargetMode="External"/><Relationship Id="rId103" Type="http://schemas.openxmlformats.org/officeDocument/2006/relationships/hyperlink" Target="https://doi.org/10.1056/NEJMoa2206297" TargetMode="External"/><Relationship Id="rId124" Type="http://schemas.openxmlformats.org/officeDocument/2006/relationships/hyperlink" Target="https://academic.oup.com/jcem/article/94/9/3132/25963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3389/fpsyt.2021.6327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0474-764C-4727-9674-311D9E5E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4273</TotalTime>
  <Pages>16</Pages>
  <Words>9964</Words>
  <Characters>54803</Characters>
  <Application>Microsoft Office Word</Application>
  <DocSecurity>0</DocSecurity>
  <Lines>456</Lines>
  <Paragraphs>129</Paragraphs>
  <ScaleCrop>false</ScaleCrop>
  <HeadingPairs>
    <vt:vector size="2" baseType="variant">
      <vt:variant>
        <vt:lpstr>Titre</vt:lpstr>
      </vt:variant>
      <vt:variant>
        <vt:i4>1</vt:i4>
      </vt:variant>
    </vt:vector>
  </HeadingPairs>
  <TitlesOfParts>
    <vt:vector size="1" baseType="lpstr">
      <vt:lpstr/>
    </vt:vector>
  </TitlesOfParts>
  <Company>CNED</Company>
  <LinksUpToDate>false</LinksUpToDate>
  <CharactersWithSpaces>64638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PIGNARD Magali</dc:creator>
  <cp:keywords/>
  <dc:description/>
  <cp:lastModifiedBy>PIGNARD Magali</cp:lastModifiedBy>
  <cp:revision>16</cp:revision>
  <cp:lastPrinted>2025-12-29T19:23:00Z</cp:lastPrinted>
  <dcterms:created xsi:type="dcterms:W3CDTF">2025-12-25T17:56:00Z</dcterms:created>
  <dcterms:modified xsi:type="dcterms:W3CDTF">2025-12-30T12:57:00Z</dcterms:modified>
</cp:coreProperties>
</file>